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2851D" w14:textId="3C2A72E9" w:rsidR="00304550" w:rsidRPr="00192D49" w:rsidRDefault="005677AE" w:rsidP="00304550">
      <w:pPr>
        <w:spacing w:before="120"/>
        <w:jc w:val="both"/>
        <w:rPr>
          <w:rFonts w:asciiTheme="majorHAnsi" w:hAnsiTheme="majorHAnsi" w:cstheme="majorHAnsi"/>
          <w:b/>
          <w:bCs/>
          <w:sz w:val="22"/>
          <w:szCs w:val="22"/>
        </w:rPr>
      </w:pPr>
      <w:r>
        <w:rPr>
          <w:rFonts w:asciiTheme="majorHAnsi" w:hAnsiTheme="majorHAnsi" w:cstheme="majorHAnsi"/>
          <w:b/>
          <w:bCs/>
          <w:sz w:val="22"/>
          <w:szCs w:val="22"/>
        </w:rPr>
        <w:t xml:space="preserve">IVA sulle compensazioni da </w:t>
      </w:r>
      <w:r w:rsidR="00304550" w:rsidRPr="00192D49">
        <w:rPr>
          <w:rFonts w:asciiTheme="majorHAnsi" w:hAnsiTheme="majorHAnsi" w:cstheme="majorHAnsi"/>
          <w:b/>
          <w:bCs/>
          <w:sz w:val="22"/>
          <w:szCs w:val="22"/>
        </w:rPr>
        <w:t>“Caro materiali”</w:t>
      </w:r>
    </w:p>
    <w:p w14:paraId="23254D5C" w14:textId="760E550E" w:rsidR="00304550" w:rsidRDefault="00304550" w:rsidP="00304550">
      <w:pPr>
        <w:widowControl w:val="0"/>
        <w:autoSpaceDE w:val="0"/>
        <w:autoSpaceDN w:val="0"/>
        <w:adjustRightInd w:val="0"/>
        <w:spacing w:before="120"/>
        <w:jc w:val="both"/>
        <w:rPr>
          <w:rFonts w:asciiTheme="majorHAnsi" w:hAnsiTheme="majorHAnsi" w:cstheme="majorHAnsi"/>
          <w:sz w:val="22"/>
          <w:szCs w:val="22"/>
        </w:rPr>
      </w:pPr>
    </w:p>
    <w:p w14:paraId="1EE1E59C" w14:textId="5F337C59" w:rsidR="005677AE" w:rsidRDefault="00B137A4" w:rsidP="00304550">
      <w:pPr>
        <w:widowControl w:val="0"/>
        <w:autoSpaceDE w:val="0"/>
        <w:autoSpaceDN w:val="0"/>
        <w:adjustRightInd w:val="0"/>
        <w:spacing w:before="120"/>
        <w:jc w:val="both"/>
        <w:rPr>
          <w:rFonts w:asciiTheme="majorHAnsi" w:hAnsiTheme="majorHAnsi" w:cstheme="majorHAnsi"/>
          <w:sz w:val="22"/>
          <w:szCs w:val="22"/>
        </w:rPr>
      </w:pPr>
      <w:r>
        <w:rPr>
          <w:rFonts w:asciiTheme="majorHAnsi" w:hAnsiTheme="majorHAnsi" w:cstheme="majorHAnsi"/>
          <w:sz w:val="22"/>
          <w:szCs w:val="22"/>
        </w:rPr>
        <w:t>Alla luce delle diverse segnalazioni che continuano a pervenire dal territorio, si ribadisce che l</w:t>
      </w:r>
      <w:r w:rsidR="008E6AFF">
        <w:rPr>
          <w:rFonts w:asciiTheme="majorHAnsi" w:hAnsiTheme="majorHAnsi" w:cstheme="majorHAnsi"/>
          <w:sz w:val="22"/>
          <w:szCs w:val="22"/>
        </w:rPr>
        <w:t>e somme riconosciute dalle Stazioni appaltanti pubbliche alle imprese appaltatrici, in compensazione del cd. “caro materiali”</w:t>
      </w:r>
      <w:r w:rsidR="004F2EBB">
        <w:rPr>
          <w:rFonts w:asciiTheme="majorHAnsi" w:hAnsiTheme="majorHAnsi" w:cstheme="majorHAnsi"/>
          <w:sz w:val="22"/>
          <w:szCs w:val="22"/>
        </w:rPr>
        <w:t>,</w:t>
      </w:r>
      <w:r w:rsidR="008E6AFF">
        <w:rPr>
          <w:rFonts w:asciiTheme="majorHAnsi" w:hAnsiTheme="majorHAnsi" w:cstheme="majorHAnsi"/>
          <w:sz w:val="22"/>
          <w:szCs w:val="22"/>
        </w:rPr>
        <w:t xml:space="preserve"> hanno natura di maggiori corrispettivi contrattuali e, come tali, </w:t>
      </w:r>
      <w:r w:rsidR="008520E8">
        <w:rPr>
          <w:rFonts w:asciiTheme="majorHAnsi" w:hAnsiTheme="majorHAnsi" w:cstheme="majorHAnsi"/>
          <w:sz w:val="22"/>
          <w:szCs w:val="22"/>
        </w:rPr>
        <w:t>sono da assoggettare</w:t>
      </w:r>
      <w:r w:rsidR="008E6AFF">
        <w:rPr>
          <w:rFonts w:asciiTheme="majorHAnsi" w:hAnsiTheme="majorHAnsi" w:cstheme="majorHAnsi"/>
          <w:sz w:val="22"/>
          <w:szCs w:val="22"/>
        </w:rPr>
        <w:t xml:space="preserve"> </w:t>
      </w:r>
      <w:r w:rsidR="004F2EBB">
        <w:rPr>
          <w:rFonts w:asciiTheme="majorHAnsi" w:hAnsiTheme="majorHAnsi" w:cstheme="majorHAnsi"/>
          <w:sz w:val="22"/>
          <w:szCs w:val="22"/>
        </w:rPr>
        <w:t xml:space="preserve">ad </w:t>
      </w:r>
      <w:r w:rsidR="00343037">
        <w:rPr>
          <w:rFonts w:asciiTheme="majorHAnsi" w:hAnsiTheme="majorHAnsi" w:cstheme="majorHAnsi"/>
          <w:sz w:val="22"/>
          <w:szCs w:val="22"/>
        </w:rPr>
        <w:t>I</w:t>
      </w:r>
      <w:r w:rsidR="008E6AFF">
        <w:rPr>
          <w:rFonts w:asciiTheme="majorHAnsi" w:hAnsiTheme="majorHAnsi" w:cstheme="majorHAnsi"/>
          <w:sz w:val="22"/>
          <w:szCs w:val="22"/>
        </w:rPr>
        <w:t>VA.</w:t>
      </w:r>
    </w:p>
    <w:p w14:paraId="1AFE79BF" w14:textId="2E51D42E" w:rsidR="00C67E7B" w:rsidRDefault="00C67E7B" w:rsidP="00304550">
      <w:pPr>
        <w:widowControl w:val="0"/>
        <w:autoSpaceDE w:val="0"/>
        <w:autoSpaceDN w:val="0"/>
        <w:adjustRightInd w:val="0"/>
        <w:spacing w:before="120"/>
        <w:jc w:val="both"/>
        <w:rPr>
          <w:rFonts w:asciiTheme="majorHAnsi" w:hAnsiTheme="majorHAnsi" w:cstheme="majorHAnsi"/>
          <w:sz w:val="22"/>
          <w:szCs w:val="22"/>
        </w:rPr>
      </w:pPr>
      <w:r>
        <w:rPr>
          <w:rFonts w:asciiTheme="majorHAnsi" w:hAnsiTheme="majorHAnsi" w:cstheme="majorHAnsi"/>
          <w:sz w:val="22"/>
          <w:szCs w:val="22"/>
        </w:rPr>
        <w:t xml:space="preserve">Tale indirizzo è stato già espressamente fornito dall’Agenzia delle Entrate il 13 luglio dello scorso anno, con la RM 39/E/2022, </w:t>
      </w:r>
      <w:r w:rsidR="0008332C">
        <w:rPr>
          <w:rFonts w:asciiTheme="majorHAnsi" w:hAnsiTheme="majorHAnsi" w:cstheme="majorHAnsi"/>
          <w:sz w:val="22"/>
          <w:szCs w:val="22"/>
        </w:rPr>
        <w:t>nel</w:t>
      </w:r>
      <w:r w:rsidR="008E6AFF">
        <w:rPr>
          <w:rFonts w:asciiTheme="majorHAnsi" w:hAnsiTheme="majorHAnsi" w:cstheme="majorHAnsi"/>
          <w:sz w:val="22"/>
          <w:szCs w:val="22"/>
        </w:rPr>
        <w:t>la quale</w:t>
      </w:r>
      <w:r>
        <w:rPr>
          <w:rFonts w:asciiTheme="majorHAnsi" w:hAnsiTheme="majorHAnsi" w:cstheme="majorHAnsi"/>
          <w:sz w:val="22"/>
          <w:szCs w:val="22"/>
        </w:rPr>
        <w:t xml:space="preserve"> viene affrontato, ai fini IVA, sia il rapporto “a monte” tra Stazione appaltante e Ministero delle Infrastrutture e dei Trasporti (allora MIMS) che eroga le somme avvalendosi dell’apposito Fondo, sia quello “a valle” tra Stazione appaltante ed impresa appaltatrice.</w:t>
      </w:r>
    </w:p>
    <w:p w14:paraId="78268E9C" w14:textId="0C605F4F" w:rsidR="0008332C" w:rsidRDefault="00343037" w:rsidP="0008332C">
      <w:pPr>
        <w:widowControl w:val="0"/>
        <w:autoSpaceDE w:val="0"/>
        <w:autoSpaceDN w:val="0"/>
        <w:adjustRightInd w:val="0"/>
        <w:spacing w:before="120"/>
        <w:jc w:val="both"/>
        <w:rPr>
          <w:rFonts w:asciiTheme="majorHAnsi" w:hAnsiTheme="majorHAnsi" w:cstheme="majorHAnsi"/>
          <w:sz w:val="22"/>
          <w:szCs w:val="22"/>
        </w:rPr>
      </w:pPr>
      <w:r>
        <w:rPr>
          <w:rFonts w:asciiTheme="majorHAnsi" w:hAnsiTheme="majorHAnsi" w:cstheme="majorHAnsi"/>
          <w:sz w:val="22"/>
          <w:szCs w:val="22"/>
        </w:rPr>
        <w:t xml:space="preserve">In particolare, </w:t>
      </w:r>
      <w:r w:rsidR="0008332C">
        <w:rPr>
          <w:rFonts w:asciiTheme="majorHAnsi" w:hAnsiTheme="majorHAnsi" w:cstheme="majorHAnsi"/>
          <w:sz w:val="22"/>
          <w:szCs w:val="22"/>
        </w:rPr>
        <w:t xml:space="preserve">da un lato </w:t>
      </w:r>
      <w:r w:rsidR="005E1C0A">
        <w:rPr>
          <w:rFonts w:asciiTheme="majorHAnsi" w:hAnsiTheme="majorHAnsi" w:cstheme="majorHAnsi"/>
          <w:sz w:val="22"/>
          <w:szCs w:val="22"/>
        </w:rPr>
        <w:t xml:space="preserve">sono escluse da IVA </w:t>
      </w:r>
      <w:r w:rsidR="00392F6B">
        <w:rPr>
          <w:rFonts w:asciiTheme="majorHAnsi" w:hAnsiTheme="majorHAnsi" w:cstheme="majorHAnsi"/>
          <w:sz w:val="22"/>
          <w:szCs w:val="22"/>
        </w:rPr>
        <w:t xml:space="preserve">le somme erogate </w:t>
      </w:r>
      <w:r w:rsidR="00740344">
        <w:rPr>
          <w:rFonts w:asciiTheme="majorHAnsi" w:hAnsiTheme="majorHAnsi" w:cstheme="majorHAnsi"/>
          <w:sz w:val="22"/>
          <w:szCs w:val="22"/>
        </w:rPr>
        <w:t>tramite il</w:t>
      </w:r>
      <w:r w:rsidR="0012677C">
        <w:rPr>
          <w:rFonts w:asciiTheme="majorHAnsi" w:hAnsiTheme="majorHAnsi" w:cstheme="majorHAnsi"/>
          <w:sz w:val="22"/>
          <w:szCs w:val="22"/>
        </w:rPr>
        <w:t xml:space="preserve"> Fondo </w:t>
      </w:r>
      <w:r w:rsidR="00392F6B">
        <w:rPr>
          <w:rFonts w:asciiTheme="majorHAnsi" w:hAnsiTheme="majorHAnsi" w:cstheme="majorHAnsi"/>
          <w:sz w:val="22"/>
          <w:szCs w:val="22"/>
        </w:rPr>
        <w:t xml:space="preserve">agli Enti committenti </w:t>
      </w:r>
      <w:r w:rsidR="0012677C">
        <w:rPr>
          <w:rFonts w:asciiTheme="majorHAnsi" w:hAnsiTheme="majorHAnsi" w:cstheme="majorHAnsi"/>
          <w:sz w:val="22"/>
          <w:szCs w:val="22"/>
        </w:rPr>
        <w:t xml:space="preserve">che non </w:t>
      </w:r>
      <w:r w:rsidR="008B18CF">
        <w:rPr>
          <w:rFonts w:asciiTheme="majorHAnsi" w:hAnsiTheme="majorHAnsi" w:cstheme="majorHAnsi"/>
          <w:sz w:val="22"/>
          <w:szCs w:val="22"/>
        </w:rPr>
        <w:t>hanno</w:t>
      </w:r>
      <w:r w:rsidR="0012677C">
        <w:rPr>
          <w:rFonts w:asciiTheme="majorHAnsi" w:hAnsiTheme="majorHAnsi" w:cstheme="majorHAnsi"/>
          <w:sz w:val="22"/>
          <w:szCs w:val="22"/>
        </w:rPr>
        <w:t xml:space="preserve"> risorse sufficienti per </w:t>
      </w:r>
      <w:r w:rsidR="005E1C0A">
        <w:rPr>
          <w:rFonts w:asciiTheme="majorHAnsi" w:hAnsiTheme="majorHAnsi" w:cstheme="majorHAnsi"/>
          <w:sz w:val="22"/>
          <w:szCs w:val="22"/>
        </w:rPr>
        <w:t xml:space="preserve">erogare le compensazioni, </w:t>
      </w:r>
      <w:r w:rsidR="00C67E7B">
        <w:rPr>
          <w:rFonts w:asciiTheme="majorHAnsi" w:hAnsiTheme="majorHAnsi" w:cstheme="majorHAnsi"/>
          <w:sz w:val="22"/>
          <w:szCs w:val="22"/>
        </w:rPr>
        <w:t>essendo le stesse qualificabili come contributi pubblici e quindi quali</w:t>
      </w:r>
      <w:r w:rsidR="00C67E7B" w:rsidRPr="00CF0813">
        <w:rPr>
          <w:rFonts w:asciiTheme="majorHAnsi" w:hAnsiTheme="majorHAnsi" w:cstheme="majorHAnsi"/>
          <w:sz w:val="22"/>
          <w:szCs w:val="22"/>
        </w:rPr>
        <w:t xml:space="preserve"> “mere” movimentazioni di denaro</w:t>
      </w:r>
      <w:r w:rsidR="00C67E7B">
        <w:rPr>
          <w:rFonts w:asciiTheme="majorHAnsi" w:hAnsiTheme="majorHAnsi" w:cstheme="majorHAnsi"/>
          <w:sz w:val="22"/>
          <w:szCs w:val="22"/>
        </w:rPr>
        <w:t xml:space="preserve"> </w:t>
      </w:r>
      <w:r w:rsidR="0008332C" w:rsidRPr="00CF0813">
        <w:rPr>
          <w:rFonts w:asciiTheme="majorHAnsi" w:hAnsiTheme="majorHAnsi" w:cstheme="majorHAnsi"/>
          <w:sz w:val="22"/>
          <w:szCs w:val="22"/>
        </w:rPr>
        <w:t>esclus</w:t>
      </w:r>
      <w:r w:rsidR="0008332C">
        <w:rPr>
          <w:rFonts w:asciiTheme="majorHAnsi" w:hAnsiTheme="majorHAnsi" w:cstheme="majorHAnsi"/>
          <w:sz w:val="22"/>
          <w:szCs w:val="22"/>
        </w:rPr>
        <w:t xml:space="preserve">e </w:t>
      </w:r>
      <w:r w:rsidR="0008332C" w:rsidRPr="00CF0813">
        <w:rPr>
          <w:rFonts w:asciiTheme="majorHAnsi" w:hAnsiTheme="majorHAnsi" w:cstheme="majorHAnsi"/>
          <w:sz w:val="22"/>
          <w:szCs w:val="22"/>
        </w:rPr>
        <w:t xml:space="preserve">dall’ambito applicativo </w:t>
      </w:r>
      <w:r w:rsidR="0008332C">
        <w:rPr>
          <w:rFonts w:asciiTheme="majorHAnsi" w:hAnsiTheme="majorHAnsi" w:cstheme="majorHAnsi"/>
          <w:sz w:val="22"/>
          <w:szCs w:val="22"/>
        </w:rPr>
        <w:t>dell’imposta</w:t>
      </w:r>
      <w:r w:rsidR="0008332C" w:rsidRPr="00CF0813">
        <w:rPr>
          <w:rFonts w:asciiTheme="majorHAnsi" w:hAnsiTheme="majorHAnsi" w:cstheme="majorHAnsi"/>
          <w:sz w:val="22"/>
          <w:szCs w:val="22"/>
        </w:rPr>
        <w:t xml:space="preserve">, ai sensi </w:t>
      </w:r>
      <w:r w:rsidR="0008332C">
        <w:rPr>
          <w:rFonts w:asciiTheme="majorHAnsi" w:hAnsiTheme="majorHAnsi" w:cstheme="majorHAnsi"/>
          <w:sz w:val="22"/>
          <w:szCs w:val="22"/>
        </w:rPr>
        <w:t>ai sensi del</w:t>
      </w:r>
      <w:r w:rsidR="0008332C" w:rsidRPr="00CF0813">
        <w:rPr>
          <w:rFonts w:asciiTheme="majorHAnsi" w:hAnsiTheme="majorHAnsi" w:cstheme="majorHAnsi"/>
          <w:sz w:val="22"/>
          <w:szCs w:val="22"/>
        </w:rPr>
        <w:t>’art</w:t>
      </w:r>
      <w:r w:rsidR="0008332C">
        <w:rPr>
          <w:rFonts w:asciiTheme="majorHAnsi" w:hAnsiTheme="majorHAnsi" w:cstheme="majorHAnsi"/>
          <w:sz w:val="22"/>
          <w:szCs w:val="22"/>
        </w:rPr>
        <w:t xml:space="preserve">.2. co.3, </w:t>
      </w:r>
      <w:proofErr w:type="spellStart"/>
      <w:r w:rsidR="0008332C">
        <w:rPr>
          <w:rFonts w:asciiTheme="majorHAnsi" w:hAnsiTheme="majorHAnsi" w:cstheme="majorHAnsi"/>
          <w:sz w:val="22"/>
          <w:szCs w:val="22"/>
        </w:rPr>
        <w:t>lett.a</w:t>
      </w:r>
      <w:proofErr w:type="spellEnd"/>
      <w:r w:rsidR="0008332C">
        <w:rPr>
          <w:rFonts w:asciiTheme="majorHAnsi" w:hAnsiTheme="majorHAnsi" w:cstheme="majorHAnsi"/>
          <w:sz w:val="22"/>
          <w:szCs w:val="22"/>
        </w:rPr>
        <w:t>)</w:t>
      </w:r>
      <w:r w:rsidR="0008332C" w:rsidRPr="00CF0813">
        <w:rPr>
          <w:rFonts w:asciiTheme="majorHAnsi" w:hAnsiTheme="majorHAnsi" w:cstheme="majorHAnsi"/>
          <w:sz w:val="22"/>
          <w:szCs w:val="22"/>
        </w:rPr>
        <w:t xml:space="preserve"> </w:t>
      </w:r>
      <w:r w:rsidR="0008332C">
        <w:rPr>
          <w:rFonts w:asciiTheme="majorHAnsi" w:hAnsiTheme="majorHAnsi" w:cstheme="majorHAnsi"/>
          <w:sz w:val="22"/>
          <w:szCs w:val="22"/>
        </w:rPr>
        <w:t>del DPR 633/1972 (</w:t>
      </w:r>
      <w:r w:rsidR="0008332C" w:rsidRPr="00CF0813">
        <w:rPr>
          <w:rFonts w:asciiTheme="majorHAnsi" w:hAnsiTheme="majorHAnsi" w:cstheme="majorHAnsi"/>
          <w:sz w:val="22"/>
          <w:szCs w:val="22"/>
        </w:rPr>
        <w:t>che prevede la non rilevanza all’IVA delle “</w:t>
      </w:r>
      <w:r w:rsidR="0008332C" w:rsidRPr="00FC2623">
        <w:rPr>
          <w:rFonts w:asciiTheme="majorHAnsi" w:hAnsiTheme="majorHAnsi" w:cstheme="majorHAnsi"/>
          <w:i/>
          <w:iCs/>
          <w:sz w:val="22"/>
          <w:szCs w:val="22"/>
        </w:rPr>
        <w:t>cessioni che hanno per oggetto denaro o crediti in denaro</w:t>
      </w:r>
      <w:r w:rsidR="0008332C" w:rsidRPr="00CF0813">
        <w:rPr>
          <w:rFonts w:asciiTheme="majorHAnsi" w:hAnsiTheme="majorHAnsi" w:cstheme="majorHAnsi"/>
          <w:sz w:val="22"/>
          <w:szCs w:val="22"/>
        </w:rPr>
        <w:t>”</w:t>
      </w:r>
      <w:r w:rsidR="0008332C">
        <w:rPr>
          <w:rFonts w:asciiTheme="majorHAnsi" w:hAnsiTheme="majorHAnsi" w:cstheme="majorHAnsi"/>
          <w:sz w:val="22"/>
          <w:szCs w:val="22"/>
        </w:rPr>
        <w:t>)</w:t>
      </w:r>
      <w:r w:rsidR="0008332C" w:rsidRPr="00CF0813">
        <w:rPr>
          <w:rFonts w:asciiTheme="majorHAnsi" w:hAnsiTheme="majorHAnsi" w:cstheme="majorHAnsi"/>
          <w:sz w:val="22"/>
          <w:szCs w:val="22"/>
        </w:rPr>
        <w:t>.</w:t>
      </w:r>
    </w:p>
    <w:p w14:paraId="42D3E42A" w14:textId="73DE6CC5" w:rsidR="0008332C" w:rsidRDefault="0008332C" w:rsidP="0008332C">
      <w:pPr>
        <w:widowControl w:val="0"/>
        <w:autoSpaceDE w:val="0"/>
        <w:autoSpaceDN w:val="0"/>
        <w:adjustRightInd w:val="0"/>
        <w:spacing w:before="120"/>
        <w:jc w:val="both"/>
        <w:rPr>
          <w:rFonts w:asciiTheme="majorHAnsi" w:hAnsiTheme="majorHAnsi" w:cstheme="majorHAnsi"/>
          <w:sz w:val="22"/>
          <w:szCs w:val="22"/>
        </w:rPr>
      </w:pPr>
      <w:r>
        <w:rPr>
          <w:rFonts w:asciiTheme="majorHAnsi" w:hAnsiTheme="majorHAnsi" w:cstheme="majorHAnsi"/>
          <w:sz w:val="22"/>
          <w:szCs w:val="22"/>
        </w:rPr>
        <w:t xml:space="preserve">D’altro canto, </w:t>
      </w:r>
      <w:r w:rsidR="00C67E7B">
        <w:rPr>
          <w:rFonts w:asciiTheme="majorHAnsi" w:hAnsiTheme="majorHAnsi" w:cstheme="majorHAnsi"/>
          <w:sz w:val="22"/>
          <w:szCs w:val="22"/>
        </w:rPr>
        <w:t xml:space="preserve">gli importi </w:t>
      </w:r>
      <w:r>
        <w:rPr>
          <w:rFonts w:asciiTheme="majorHAnsi" w:hAnsiTheme="majorHAnsi" w:cstheme="majorHAnsi"/>
          <w:sz w:val="22"/>
          <w:szCs w:val="22"/>
        </w:rPr>
        <w:t>che vengono successivamente corrisposti</w:t>
      </w:r>
      <w:r w:rsidRPr="00F14AB8">
        <w:rPr>
          <w:rFonts w:asciiTheme="majorHAnsi" w:hAnsiTheme="majorHAnsi" w:cstheme="majorHAnsi"/>
          <w:sz w:val="22"/>
          <w:szCs w:val="22"/>
        </w:rPr>
        <w:t xml:space="preserve"> dalla </w:t>
      </w:r>
      <w:r>
        <w:rPr>
          <w:rFonts w:asciiTheme="majorHAnsi" w:hAnsiTheme="majorHAnsi" w:cstheme="majorHAnsi"/>
          <w:sz w:val="22"/>
          <w:szCs w:val="22"/>
        </w:rPr>
        <w:t>S</w:t>
      </w:r>
      <w:r w:rsidRPr="00F14AB8">
        <w:rPr>
          <w:rFonts w:asciiTheme="majorHAnsi" w:hAnsiTheme="majorHAnsi" w:cstheme="majorHAnsi"/>
          <w:sz w:val="22"/>
          <w:szCs w:val="22"/>
        </w:rPr>
        <w:t>tazione</w:t>
      </w:r>
      <w:r>
        <w:rPr>
          <w:rFonts w:asciiTheme="majorHAnsi" w:hAnsiTheme="majorHAnsi" w:cstheme="majorHAnsi"/>
          <w:sz w:val="22"/>
          <w:szCs w:val="22"/>
        </w:rPr>
        <w:t xml:space="preserve"> </w:t>
      </w:r>
      <w:r w:rsidRPr="00F14AB8">
        <w:rPr>
          <w:rFonts w:asciiTheme="majorHAnsi" w:hAnsiTheme="majorHAnsi" w:cstheme="majorHAnsi"/>
          <w:sz w:val="22"/>
          <w:szCs w:val="22"/>
        </w:rPr>
        <w:t>appaltante all'</w:t>
      </w:r>
      <w:r>
        <w:rPr>
          <w:rFonts w:asciiTheme="majorHAnsi" w:hAnsiTheme="majorHAnsi" w:cstheme="majorHAnsi"/>
          <w:sz w:val="22"/>
          <w:szCs w:val="22"/>
        </w:rPr>
        <w:t xml:space="preserve">impresa </w:t>
      </w:r>
      <w:r w:rsidRPr="00F14AB8">
        <w:rPr>
          <w:rFonts w:asciiTheme="majorHAnsi" w:hAnsiTheme="majorHAnsi" w:cstheme="majorHAnsi"/>
          <w:sz w:val="22"/>
          <w:szCs w:val="22"/>
        </w:rPr>
        <w:t>appaltat</w:t>
      </w:r>
      <w:r>
        <w:rPr>
          <w:rFonts w:asciiTheme="majorHAnsi" w:hAnsiTheme="majorHAnsi" w:cstheme="majorHAnsi"/>
          <w:sz w:val="22"/>
          <w:szCs w:val="22"/>
        </w:rPr>
        <w:t>rice</w:t>
      </w:r>
      <w:r w:rsidRPr="00F14AB8">
        <w:rPr>
          <w:rFonts w:asciiTheme="majorHAnsi" w:hAnsiTheme="majorHAnsi" w:cstheme="majorHAnsi"/>
          <w:sz w:val="22"/>
          <w:szCs w:val="22"/>
        </w:rPr>
        <w:t xml:space="preserve"> assum</w:t>
      </w:r>
      <w:r>
        <w:rPr>
          <w:rFonts w:asciiTheme="majorHAnsi" w:hAnsiTheme="majorHAnsi" w:cstheme="majorHAnsi"/>
          <w:sz w:val="22"/>
          <w:szCs w:val="22"/>
        </w:rPr>
        <w:t>ono, invece,</w:t>
      </w:r>
      <w:r w:rsidRPr="00F14AB8">
        <w:rPr>
          <w:rFonts w:asciiTheme="majorHAnsi" w:hAnsiTheme="majorHAnsi" w:cstheme="majorHAnsi"/>
          <w:sz w:val="22"/>
          <w:szCs w:val="22"/>
        </w:rPr>
        <w:t xml:space="preserve"> natura di integrazione</w:t>
      </w:r>
      <w:r>
        <w:rPr>
          <w:rFonts w:asciiTheme="majorHAnsi" w:hAnsiTheme="majorHAnsi" w:cstheme="majorHAnsi"/>
          <w:sz w:val="22"/>
          <w:szCs w:val="22"/>
        </w:rPr>
        <w:t xml:space="preserve"> </w:t>
      </w:r>
      <w:r w:rsidRPr="00F14AB8">
        <w:rPr>
          <w:rFonts w:asciiTheme="majorHAnsi" w:hAnsiTheme="majorHAnsi" w:cstheme="majorHAnsi"/>
          <w:sz w:val="22"/>
          <w:szCs w:val="22"/>
        </w:rPr>
        <w:t xml:space="preserve">dell'originario corrispettivo </w:t>
      </w:r>
      <w:r>
        <w:rPr>
          <w:rFonts w:asciiTheme="majorHAnsi" w:hAnsiTheme="majorHAnsi" w:cstheme="majorHAnsi"/>
          <w:sz w:val="22"/>
          <w:szCs w:val="22"/>
        </w:rPr>
        <w:t xml:space="preserve">d’appalto e, </w:t>
      </w:r>
      <w:r w:rsidRPr="00F14AB8">
        <w:rPr>
          <w:rFonts w:asciiTheme="majorHAnsi" w:hAnsiTheme="majorHAnsi" w:cstheme="majorHAnsi"/>
          <w:sz w:val="22"/>
          <w:szCs w:val="22"/>
        </w:rPr>
        <w:t>come</w:t>
      </w:r>
      <w:r>
        <w:rPr>
          <w:rFonts w:asciiTheme="majorHAnsi" w:hAnsiTheme="majorHAnsi" w:cstheme="majorHAnsi"/>
          <w:sz w:val="22"/>
          <w:szCs w:val="22"/>
        </w:rPr>
        <w:t xml:space="preserve"> </w:t>
      </w:r>
      <w:r w:rsidRPr="00F14AB8">
        <w:rPr>
          <w:rFonts w:asciiTheme="majorHAnsi" w:hAnsiTheme="majorHAnsi" w:cstheme="majorHAnsi"/>
          <w:sz w:val="22"/>
          <w:szCs w:val="22"/>
        </w:rPr>
        <w:t>tale</w:t>
      </w:r>
      <w:r>
        <w:rPr>
          <w:rFonts w:asciiTheme="majorHAnsi" w:hAnsiTheme="majorHAnsi" w:cstheme="majorHAnsi"/>
          <w:sz w:val="22"/>
          <w:szCs w:val="22"/>
        </w:rPr>
        <w:t>,</w:t>
      </w:r>
      <w:r w:rsidRPr="00F14AB8">
        <w:rPr>
          <w:rFonts w:asciiTheme="majorHAnsi" w:hAnsiTheme="majorHAnsi" w:cstheme="majorHAnsi"/>
          <w:sz w:val="22"/>
          <w:szCs w:val="22"/>
        </w:rPr>
        <w:t xml:space="preserve"> risultano rilevanti ai fini </w:t>
      </w:r>
      <w:r>
        <w:rPr>
          <w:rFonts w:asciiTheme="majorHAnsi" w:hAnsiTheme="majorHAnsi" w:cstheme="majorHAnsi"/>
          <w:sz w:val="22"/>
          <w:szCs w:val="22"/>
        </w:rPr>
        <w:t>dell’IVA</w:t>
      </w:r>
      <w:r w:rsidRPr="00F14AB8">
        <w:rPr>
          <w:rFonts w:asciiTheme="majorHAnsi" w:hAnsiTheme="majorHAnsi" w:cstheme="majorHAnsi"/>
          <w:sz w:val="22"/>
          <w:szCs w:val="22"/>
        </w:rPr>
        <w:t>, secondo le modalità e</w:t>
      </w:r>
      <w:r>
        <w:rPr>
          <w:rFonts w:asciiTheme="majorHAnsi" w:hAnsiTheme="majorHAnsi" w:cstheme="majorHAnsi"/>
          <w:sz w:val="22"/>
          <w:szCs w:val="22"/>
        </w:rPr>
        <w:t xml:space="preserve"> </w:t>
      </w:r>
      <w:r w:rsidRPr="00F14AB8">
        <w:rPr>
          <w:rFonts w:asciiTheme="majorHAnsi" w:hAnsiTheme="majorHAnsi" w:cstheme="majorHAnsi"/>
          <w:sz w:val="22"/>
          <w:szCs w:val="22"/>
        </w:rPr>
        <w:t>l'aliquota già previste per l'originario contratto di appalto</w:t>
      </w:r>
      <w:r>
        <w:rPr>
          <w:rFonts w:asciiTheme="majorHAnsi" w:hAnsiTheme="majorHAnsi" w:cstheme="majorHAnsi"/>
          <w:sz w:val="22"/>
          <w:szCs w:val="22"/>
        </w:rPr>
        <w:t>, ai seni del</w:t>
      </w:r>
      <w:r w:rsidRPr="00F14AB8">
        <w:rPr>
          <w:rFonts w:asciiTheme="majorHAnsi" w:hAnsiTheme="majorHAnsi" w:cstheme="majorHAnsi"/>
          <w:sz w:val="22"/>
          <w:szCs w:val="22"/>
        </w:rPr>
        <w:t>l'art</w:t>
      </w:r>
      <w:r>
        <w:rPr>
          <w:rFonts w:asciiTheme="majorHAnsi" w:hAnsiTheme="majorHAnsi" w:cstheme="majorHAnsi"/>
          <w:sz w:val="22"/>
          <w:szCs w:val="22"/>
        </w:rPr>
        <w:t>.</w:t>
      </w:r>
      <w:r w:rsidRPr="00F14AB8">
        <w:rPr>
          <w:rFonts w:asciiTheme="majorHAnsi" w:hAnsiTheme="majorHAnsi" w:cstheme="majorHAnsi"/>
          <w:sz w:val="22"/>
          <w:szCs w:val="22"/>
        </w:rPr>
        <w:t>13 del</w:t>
      </w:r>
      <w:r>
        <w:rPr>
          <w:rFonts w:asciiTheme="majorHAnsi" w:hAnsiTheme="majorHAnsi" w:cstheme="majorHAnsi"/>
          <w:sz w:val="22"/>
          <w:szCs w:val="22"/>
        </w:rPr>
        <w:t xml:space="preserve"> DPR</w:t>
      </w:r>
      <w:r w:rsidRPr="00F14AB8">
        <w:rPr>
          <w:rFonts w:asciiTheme="majorHAnsi" w:hAnsiTheme="majorHAnsi" w:cstheme="majorHAnsi"/>
          <w:sz w:val="22"/>
          <w:szCs w:val="22"/>
        </w:rPr>
        <w:t xml:space="preserve"> 633</w:t>
      </w:r>
      <w:r>
        <w:rPr>
          <w:rFonts w:asciiTheme="majorHAnsi" w:hAnsiTheme="majorHAnsi" w:cstheme="majorHAnsi"/>
          <w:sz w:val="22"/>
          <w:szCs w:val="22"/>
        </w:rPr>
        <w:t>/</w:t>
      </w:r>
      <w:r w:rsidRPr="00F14AB8">
        <w:rPr>
          <w:rFonts w:asciiTheme="majorHAnsi" w:hAnsiTheme="majorHAnsi" w:cstheme="majorHAnsi"/>
          <w:sz w:val="22"/>
          <w:szCs w:val="22"/>
        </w:rPr>
        <w:t xml:space="preserve">1972 </w:t>
      </w:r>
      <w:r>
        <w:rPr>
          <w:rFonts w:asciiTheme="majorHAnsi" w:hAnsiTheme="majorHAnsi" w:cstheme="majorHAnsi"/>
          <w:sz w:val="22"/>
          <w:szCs w:val="22"/>
        </w:rPr>
        <w:t>(</w:t>
      </w:r>
      <w:r w:rsidRPr="00F14AB8">
        <w:rPr>
          <w:rFonts w:asciiTheme="majorHAnsi" w:hAnsiTheme="majorHAnsi" w:cstheme="majorHAnsi"/>
          <w:sz w:val="22"/>
          <w:szCs w:val="22"/>
        </w:rPr>
        <w:t>che sancisce il principio di</w:t>
      </w:r>
      <w:r>
        <w:rPr>
          <w:rFonts w:asciiTheme="majorHAnsi" w:hAnsiTheme="majorHAnsi" w:cstheme="majorHAnsi"/>
          <w:sz w:val="22"/>
          <w:szCs w:val="22"/>
        </w:rPr>
        <w:t xml:space="preserve"> </w:t>
      </w:r>
      <w:r w:rsidRPr="00F14AB8">
        <w:rPr>
          <w:rFonts w:asciiTheme="majorHAnsi" w:hAnsiTheme="majorHAnsi" w:cstheme="majorHAnsi"/>
          <w:sz w:val="22"/>
          <w:szCs w:val="22"/>
        </w:rPr>
        <w:t>onnicomprensività del corrispettivo</w:t>
      </w:r>
      <w:r>
        <w:rPr>
          <w:rFonts w:asciiTheme="majorHAnsi" w:hAnsiTheme="majorHAnsi" w:cstheme="majorHAnsi"/>
          <w:sz w:val="22"/>
          <w:szCs w:val="22"/>
        </w:rPr>
        <w:t xml:space="preserve">, </w:t>
      </w:r>
      <w:r w:rsidRPr="00F14AB8">
        <w:rPr>
          <w:rFonts w:asciiTheme="majorHAnsi" w:hAnsiTheme="majorHAnsi" w:cstheme="majorHAnsi"/>
          <w:sz w:val="22"/>
          <w:szCs w:val="22"/>
        </w:rPr>
        <w:t>costituit</w:t>
      </w:r>
      <w:r>
        <w:rPr>
          <w:rFonts w:asciiTheme="majorHAnsi" w:hAnsiTheme="majorHAnsi" w:cstheme="majorHAnsi"/>
          <w:sz w:val="22"/>
          <w:szCs w:val="22"/>
        </w:rPr>
        <w:t>o</w:t>
      </w:r>
      <w:r w:rsidRPr="00F14AB8">
        <w:rPr>
          <w:rFonts w:asciiTheme="majorHAnsi" w:hAnsiTheme="majorHAnsi" w:cstheme="majorHAnsi"/>
          <w:sz w:val="22"/>
          <w:szCs w:val="22"/>
        </w:rPr>
        <w:t xml:space="preserve"> dall'ammontare complessivo dei</w:t>
      </w:r>
      <w:r>
        <w:rPr>
          <w:rFonts w:asciiTheme="majorHAnsi" w:hAnsiTheme="majorHAnsi" w:cstheme="majorHAnsi"/>
          <w:sz w:val="22"/>
          <w:szCs w:val="22"/>
        </w:rPr>
        <w:t xml:space="preserve"> </w:t>
      </w:r>
      <w:r w:rsidRPr="00F14AB8">
        <w:rPr>
          <w:rFonts w:asciiTheme="majorHAnsi" w:hAnsiTheme="majorHAnsi" w:cstheme="majorHAnsi"/>
          <w:sz w:val="22"/>
          <w:szCs w:val="22"/>
        </w:rPr>
        <w:t>corrispettivi dovuti secondo le condizioni contrattuali</w:t>
      </w:r>
      <w:r>
        <w:rPr>
          <w:rFonts w:asciiTheme="majorHAnsi" w:hAnsiTheme="majorHAnsi" w:cstheme="majorHAnsi"/>
          <w:sz w:val="22"/>
          <w:szCs w:val="22"/>
        </w:rPr>
        <w:t>,</w:t>
      </w:r>
      <w:r w:rsidRPr="00F14AB8">
        <w:rPr>
          <w:rFonts w:asciiTheme="majorHAnsi" w:hAnsiTheme="majorHAnsi" w:cstheme="majorHAnsi"/>
          <w:sz w:val="22"/>
          <w:szCs w:val="22"/>
        </w:rPr>
        <w:t xml:space="preserve"> "</w:t>
      </w:r>
      <w:r w:rsidRPr="00963134">
        <w:rPr>
          <w:rFonts w:asciiTheme="majorHAnsi" w:hAnsiTheme="majorHAnsi" w:cstheme="majorHAnsi"/>
          <w:i/>
          <w:iCs/>
          <w:sz w:val="22"/>
          <w:szCs w:val="22"/>
        </w:rPr>
        <w:t>aumentato delle integrazioni direttamente connesse con i corrispettivi dovuti da altri soggetti</w:t>
      </w:r>
      <w:r w:rsidRPr="00F14AB8">
        <w:rPr>
          <w:rFonts w:asciiTheme="majorHAnsi" w:hAnsiTheme="majorHAnsi" w:cstheme="majorHAnsi"/>
          <w:sz w:val="22"/>
          <w:szCs w:val="22"/>
        </w:rPr>
        <w:t>"</w:t>
      </w:r>
      <w:r>
        <w:rPr>
          <w:rFonts w:asciiTheme="majorHAnsi" w:hAnsiTheme="majorHAnsi" w:cstheme="majorHAnsi"/>
          <w:sz w:val="22"/>
          <w:szCs w:val="22"/>
        </w:rPr>
        <w:t>)</w:t>
      </w:r>
      <w:r w:rsidRPr="00F14AB8">
        <w:rPr>
          <w:rFonts w:asciiTheme="majorHAnsi" w:hAnsiTheme="majorHAnsi" w:cstheme="majorHAnsi"/>
          <w:sz w:val="22"/>
          <w:szCs w:val="22"/>
        </w:rPr>
        <w:t>.</w:t>
      </w:r>
      <w:r>
        <w:rPr>
          <w:rFonts w:asciiTheme="majorHAnsi" w:hAnsiTheme="majorHAnsi" w:cstheme="majorHAnsi"/>
          <w:sz w:val="22"/>
          <w:szCs w:val="22"/>
        </w:rPr>
        <w:t xml:space="preserve"> </w:t>
      </w:r>
    </w:p>
    <w:p w14:paraId="61911FCA" w14:textId="489C2C0C" w:rsidR="0008332C" w:rsidRDefault="0008332C" w:rsidP="0008332C">
      <w:pPr>
        <w:widowControl w:val="0"/>
        <w:autoSpaceDE w:val="0"/>
        <w:autoSpaceDN w:val="0"/>
        <w:adjustRightInd w:val="0"/>
        <w:spacing w:before="120"/>
        <w:jc w:val="both"/>
        <w:rPr>
          <w:rFonts w:asciiTheme="majorHAnsi" w:hAnsiTheme="majorHAnsi" w:cstheme="majorHAnsi"/>
          <w:sz w:val="22"/>
          <w:szCs w:val="22"/>
        </w:rPr>
      </w:pPr>
      <w:r w:rsidRPr="00BC35A2">
        <w:rPr>
          <w:rFonts w:asciiTheme="majorHAnsi" w:hAnsiTheme="majorHAnsi" w:cstheme="majorHAnsi"/>
          <w:sz w:val="22"/>
          <w:szCs w:val="22"/>
        </w:rPr>
        <w:t>Alle medesime conclusioni si ritiene di poter giungere anche con riferimento agli importi erogati alle imprese in virtù del meccanismo di aggiornamento straordinario dei prezzari, previsto dall’art.26 del DL 50/2022</w:t>
      </w:r>
      <w:r w:rsidR="00251D4D" w:rsidRPr="00BC35A2">
        <w:rPr>
          <w:rFonts w:asciiTheme="majorHAnsi" w:hAnsiTheme="majorHAnsi" w:cstheme="majorHAnsi"/>
          <w:sz w:val="22"/>
          <w:szCs w:val="22"/>
        </w:rPr>
        <w:t xml:space="preserve"> (convertito con modifiche dalla legge 91/2022)</w:t>
      </w:r>
      <w:r w:rsidRPr="00BC35A2">
        <w:rPr>
          <w:rFonts w:asciiTheme="majorHAnsi" w:hAnsiTheme="majorHAnsi" w:cstheme="majorHAnsi"/>
          <w:sz w:val="22"/>
          <w:szCs w:val="22"/>
        </w:rPr>
        <w:t xml:space="preserve"> per i lavori eseguiti e contabilizzati nel 2022</w:t>
      </w:r>
      <w:r w:rsidR="00251D4D" w:rsidRPr="00BC35A2">
        <w:rPr>
          <w:rFonts w:asciiTheme="majorHAnsi" w:hAnsiTheme="majorHAnsi" w:cstheme="majorHAnsi"/>
          <w:sz w:val="22"/>
          <w:szCs w:val="22"/>
        </w:rPr>
        <w:t xml:space="preserve"> e nel 2023</w:t>
      </w:r>
      <w:r w:rsidRPr="00BC35A2">
        <w:rPr>
          <w:rFonts w:asciiTheme="majorHAnsi" w:hAnsiTheme="majorHAnsi" w:cstheme="majorHAnsi"/>
          <w:sz w:val="22"/>
          <w:szCs w:val="22"/>
        </w:rPr>
        <w:t>.</w:t>
      </w:r>
    </w:p>
    <w:p w14:paraId="177D611A" w14:textId="77777777" w:rsidR="0008332C" w:rsidRDefault="0008332C" w:rsidP="0008332C">
      <w:pPr>
        <w:widowControl w:val="0"/>
        <w:autoSpaceDE w:val="0"/>
        <w:autoSpaceDN w:val="0"/>
        <w:adjustRightInd w:val="0"/>
        <w:spacing w:before="120"/>
        <w:jc w:val="both"/>
        <w:rPr>
          <w:rFonts w:asciiTheme="majorHAnsi" w:hAnsiTheme="majorHAnsi" w:cstheme="majorHAnsi"/>
          <w:sz w:val="22"/>
          <w:szCs w:val="22"/>
        </w:rPr>
      </w:pPr>
      <w:r>
        <w:rPr>
          <w:rFonts w:asciiTheme="majorHAnsi" w:hAnsiTheme="majorHAnsi" w:cstheme="majorHAnsi"/>
          <w:sz w:val="22"/>
          <w:szCs w:val="22"/>
        </w:rPr>
        <w:t xml:space="preserve">Trattandosi, inoltre, di prestazioni eseguite nei confronti di committenti pubblici, anche tali somme saranno per lo più assoggettate al meccanismo dello </w:t>
      </w:r>
      <w:r w:rsidRPr="002252A3">
        <w:rPr>
          <w:rFonts w:asciiTheme="majorHAnsi" w:hAnsiTheme="majorHAnsi" w:cstheme="majorHAnsi"/>
          <w:i/>
          <w:iCs/>
          <w:sz w:val="22"/>
          <w:szCs w:val="22"/>
        </w:rPr>
        <w:t>split payment</w:t>
      </w:r>
      <w:r>
        <w:rPr>
          <w:rFonts w:asciiTheme="majorHAnsi" w:hAnsiTheme="majorHAnsi" w:cstheme="majorHAnsi"/>
          <w:sz w:val="22"/>
          <w:szCs w:val="22"/>
        </w:rPr>
        <w:t xml:space="preserve"> (di cui all’art.17-ter, del DPR 633/1972), al pari del generale corrispettivo previsto per la realizzazione dell’opera.</w:t>
      </w:r>
    </w:p>
    <w:p w14:paraId="4002D852" w14:textId="23A50F4A" w:rsidR="0008332C" w:rsidRPr="00F14AB8" w:rsidRDefault="0008332C" w:rsidP="0008332C">
      <w:pPr>
        <w:widowControl w:val="0"/>
        <w:autoSpaceDE w:val="0"/>
        <w:autoSpaceDN w:val="0"/>
        <w:adjustRightInd w:val="0"/>
        <w:spacing w:before="120"/>
        <w:jc w:val="both"/>
        <w:rPr>
          <w:rFonts w:asciiTheme="majorHAnsi" w:hAnsiTheme="majorHAnsi" w:cstheme="majorHAnsi"/>
          <w:sz w:val="22"/>
          <w:szCs w:val="22"/>
        </w:rPr>
      </w:pPr>
      <w:r>
        <w:rPr>
          <w:rFonts w:asciiTheme="majorHAnsi" w:hAnsiTheme="majorHAnsi" w:cstheme="majorHAnsi"/>
          <w:sz w:val="22"/>
          <w:szCs w:val="22"/>
        </w:rPr>
        <w:t xml:space="preserve">La suddetta pronuncia </w:t>
      </w:r>
      <w:r w:rsidR="00C83983">
        <w:rPr>
          <w:rFonts w:asciiTheme="majorHAnsi" w:hAnsiTheme="majorHAnsi" w:cstheme="majorHAnsi"/>
          <w:sz w:val="22"/>
          <w:szCs w:val="22"/>
        </w:rPr>
        <w:t>amministrativa è stata fortemente sollecitata dall’ANCE</w:t>
      </w:r>
      <w:r w:rsidR="003A53CB">
        <w:rPr>
          <w:rFonts w:asciiTheme="majorHAnsi" w:hAnsiTheme="majorHAnsi" w:cstheme="majorHAnsi"/>
          <w:sz w:val="22"/>
          <w:szCs w:val="22"/>
        </w:rPr>
        <w:t xml:space="preserve"> (e tempestivamente comunicata al sistema con </w:t>
      </w:r>
      <w:r w:rsidR="003A53CB" w:rsidRPr="003A53CB">
        <w:rPr>
          <w:rFonts w:asciiTheme="majorHAnsi" w:hAnsiTheme="majorHAnsi" w:cstheme="majorHAnsi"/>
          <w:sz w:val="22"/>
          <w:szCs w:val="22"/>
        </w:rPr>
        <w:t>Nota n. 218909  del 14 luglio 2022</w:t>
      </w:r>
      <w:r w:rsidR="003A53CB">
        <w:rPr>
          <w:rFonts w:asciiTheme="majorHAnsi" w:hAnsiTheme="majorHAnsi" w:cstheme="majorHAnsi"/>
          <w:sz w:val="22"/>
          <w:szCs w:val="22"/>
        </w:rPr>
        <w:t>,</w:t>
      </w:r>
      <w:r w:rsidR="003A53CB" w:rsidRPr="003A53CB">
        <w:rPr>
          <w:rFonts w:asciiTheme="majorHAnsi" w:hAnsiTheme="majorHAnsi" w:cstheme="majorHAnsi"/>
          <w:sz w:val="22"/>
          <w:szCs w:val="22"/>
        </w:rPr>
        <w:t xml:space="preserve"> pubblicata sul Portale</w:t>
      </w:r>
      <w:r w:rsidR="003A53CB">
        <w:rPr>
          <w:rFonts w:asciiTheme="majorHAnsi" w:hAnsiTheme="majorHAnsi" w:cstheme="majorHAnsi"/>
          <w:sz w:val="22"/>
          <w:szCs w:val="22"/>
        </w:rPr>
        <w:t>)</w:t>
      </w:r>
      <w:r w:rsidR="00251D4D">
        <w:rPr>
          <w:rFonts w:asciiTheme="majorHAnsi" w:hAnsiTheme="majorHAnsi" w:cstheme="majorHAnsi"/>
          <w:sz w:val="22"/>
          <w:szCs w:val="22"/>
        </w:rPr>
        <w:t xml:space="preserve">, proprio per </w:t>
      </w:r>
      <w:r w:rsidR="00C83983">
        <w:rPr>
          <w:rFonts w:asciiTheme="majorHAnsi" w:hAnsiTheme="majorHAnsi" w:cstheme="majorHAnsi"/>
          <w:sz w:val="22"/>
          <w:szCs w:val="22"/>
        </w:rPr>
        <w:t xml:space="preserve">superare </w:t>
      </w:r>
      <w:r>
        <w:rPr>
          <w:rFonts w:asciiTheme="majorHAnsi" w:hAnsiTheme="majorHAnsi" w:cstheme="majorHAnsi"/>
          <w:sz w:val="22"/>
          <w:szCs w:val="22"/>
        </w:rPr>
        <w:t xml:space="preserve">definitivamente le criticità sollevate dalla precedente risposta </w:t>
      </w:r>
      <w:r w:rsidR="00C83983">
        <w:rPr>
          <w:rFonts w:asciiTheme="majorHAnsi" w:hAnsiTheme="majorHAnsi" w:cstheme="majorHAnsi"/>
          <w:sz w:val="22"/>
          <w:szCs w:val="22"/>
        </w:rPr>
        <w:t>fornita al MIMS della medesima Agenzia</w:t>
      </w:r>
      <w:r>
        <w:rPr>
          <w:rFonts w:asciiTheme="majorHAnsi" w:hAnsiTheme="majorHAnsi" w:cstheme="majorHAnsi"/>
          <w:sz w:val="22"/>
          <w:szCs w:val="22"/>
        </w:rPr>
        <w:t xml:space="preserve"> (Risposta ad interpello 956-83/2022 citata, da quest’ultimo pubblicata sul proprio sito internet), che, generando fraintendimenti operativi, ha comportato il rifiuto, da parte di numerose Stazioni appaltanti, delle fatture emesse con IVA dalle imprese appaltatrici, rallentando, e a volte bloccando del tutto, l’erogazione delle compensazioni a favore </w:t>
      </w:r>
      <w:r>
        <w:rPr>
          <w:rFonts w:asciiTheme="majorHAnsi" w:hAnsiTheme="majorHAnsi" w:cstheme="majorHAnsi"/>
          <w:sz w:val="22"/>
          <w:szCs w:val="22"/>
        </w:rPr>
        <w:lastRenderedPageBreak/>
        <w:t xml:space="preserve">di queste ultime. </w:t>
      </w:r>
    </w:p>
    <w:p w14:paraId="59F3304F" w14:textId="0E68C77E" w:rsidR="0008332C" w:rsidRDefault="00251D4D" w:rsidP="0008332C">
      <w:pPr>
        <w:widowControl w:val="0"/>
        <w:autoSpaceDE w:val="0"/>
        <w:autoSpaceDN w:val="0"/>
        <w:adjustRightInd w:val="0"/>
        <w:spacing w:before="120"/>
        <w:jc w:val="both"/>
        <w:rPr>
          <w:rFonts w:asciiTheme="majorHAnsi" w:hAnsiTheme="majorHAnsi" w:cstheme="majorHAnsi"/>
          <w:sz w:val="22"/>
          <w:szCs w:val="22"/>
        </w:rPr>
      </w:pPr>
      <w:r>
        <w:rPr>
          <w:rFonts w:asciiTheme="majorHAnsi" w:hAnsiTheme="majorHAnsi" w:cstheme="majorHAnsi"/>
          <w:sz w:val="22"/>
          <w:szCs w:val="22"/>
        </w:rPr>
        <w:t xml:space="preserve">Si ribadisce, pertanto, la necessità di fatturare tali importi con indicazione dell’IVA, con la medesima aliquota applicata per l’appalto, evidenziando altresì l’applicazione del meccanismo dello </w:t>
      </w:r>
      <w:r w:rsidRPr="00251D4D">
        <w:rPr>
          <w:rFonts w:asciiTheme="majorHAnsi" w:hAnsiTheme="majorHAnsi" w:cstheme="majorHAnsi"/>
          <w:i/>
          <w:iCs/>
          <w:sz w:val="22"/>
          <w:szCs w:val="22"/>
        </w:rPr>
        <w:t>split payment</w:t>
      </w:r>
      <w:r>
        <w:rPr>
          <w:rFonts w:asciiTheme="majorHAnsi" w:hAnsiTheme="majorHAnsi" w:cstheme="majorHAnsi"/>
          <w:sz w:val="22"/>
          <w:szCs w:val="22"/>
        </w:rPr>
        <w:t xml:space="preserve"> (art.17-ter, del DPR 633/1972), in base al quale sarà la stessa Stazione appaltane a dover versare l’imposta all’Erario.</w:t>
      </w:r>
    </w:p>
    <w:p w14:paraId="02689132" w14:textId="55E4E6BD" w:rsidR="00C67E7B" w:rsidRDefault="00C67E7B" w:rsidP="00304550">
      <w:pPr>
        <w:widowControl w:val="0"/>
        <w:autoSpaceDE w:val="0"/>
        <w:autoSpaceDN w:val="0"/>
        <w:adjustRightInd w:val="0"/>
        <w:spacing w:before="120"/>
        <w:jc w:val="both"/>
        <w:rPr>
          <w:rFonts w:asciiTheme="majorHAnsi" w:hAnsiTheme="majorHAnsi" w:cstheme="majorHAnsi"/>
          <w:sz w:val="22"/>
          <w:szCs w:val="22"/>
        </w:rPr>
      </w:pPr>
    </w:p>
    <w:sectPr w:rsidR="00C67E7B" w:rsidSect="00360656">
      <w:headerReference w:type="even" r:id="rId8"/>
      <w:headerReference w:type="default" r:id="rId9"/>
      <w:footerReference w:type="even" r:id="rId10"/>
      <w:footerReference w:type="default" r:id="rId11"/>
      <w:headerReference w:type="first" r:id="rId12"/>
      <w:footerReference w:type="first" r:id="rId13"/>
      <w:pgSz w:w="11900" w:h="16840"/>
      <w:pgMar w:top="2410" w:right="1985" w:bottom="2126" w:left="2268" w:header="709"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07EE5" w14:textId="77777777" w:rsidR="008F7D23" w:rsidRDefault="008F7D23" w:rsidP="00383E41">
      <w:r>
        <w:separator/>
      </w:r>
    </w:p>
  </w:endnote>
  <w:endnote w:type="continuationSeparator" w:id="0">
    <w:p w14:paraId="2E62F81F" w14:textId="77777777" w:rsidR="008F7D23" w:rsidRDefault="008F7D23" w:rsidP="00383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tillium Web">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B6DC" w14:textId="77777777" w:rsidR="00586226" w:rsidRDefault="005862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BEDB" w14:textId="181C896B" w:rsidR="00D03DB6" w:rsidRDefault="00D03DB6" w:rsidP="00F56007">
    <w:pPr>
      <w:pStyle w:val="Pidipagina"/>
      <w:ind w:right="-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53967" w14:textId="59026BE8" w:rsidR="00430A61" w:rsidRDefault="0002396E">
    <w:pPr>
      <w:pStyle w:val="Pidipagina"/>
    </w:pPr>
    <w:r>
      <w:rPr>
        <w:noProof/>
      </w:rPr>
      <w:drawing>
        <wp:anchor distT="0" distB="0" distL="114300" distR="114300" simplePos="0" relativeHeight="251677696" behindDoc="0" locked="0" layoutInCell="1" allowOverlap="1" wp14:anchorId="4CF2879C" wp14:editId="0F494DD5">
          <wp:simplePos x="0" y="0"/>
          <wp:positionH relativeFrom="column">
            <wp:posOffset>2561590</wp:posOffset>
          </wp:positionH>
          <wp:positionV relativeFrom="paragraph">
            <wp:posOffset>307975</wp:posOffset>
          </wp:positionV>
          <wp:extent cx="2622550" cy="341630"/>
          <wp:effectExtent l="0" t="0" r="0" b="0"/>
          <wp:wrapNone/>
          <wp:docPr id="229981290" name="Immagine 22998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2550" cy="3416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75D8E" w14:textId="77777777" w:rsidR="008F7D23" w:rsidRDefault="008F7D23" w:rsidP="00383E41">
      <w:r>
        <w:separator/>
      </w:r>
    </w:p>
  </w:footnote>
  <w:footnote w:type="continuationSeparator" w:id="0">
    <w:p w14:paraId="0C246DDC" w14:textId="77777777" w:rsidR="008F7D23" w:rsidRDefault="008F7D23" w:rsidP="00383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196C" w14:textId="77777777" w:rsidR="00586226" w:rsidRDefault="0058622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EE18" w14:textId="5EC1F619" w:rsidR="00D03DB6" w:rsidRDefault="00313962">
    <w:pPr>
      <w:pStyle w:val="Intestazione"/>
    </w:pPr>
    <w:r w:rsidRPr="008A0386">
      <w:rPr>
        <w:noProof/>
      </w:rPr>
      <w:drawing>
        <wp:anchor distT="0" distB="0" distL="114300" distR="114300" simplePos="0" relativeHeight="251675648" behindDoc="0" locked="0" layoutInCell="1" allowOverlap="1" wp14:anchorId="0BE4BB32" wp14:editId="5C965712">
          <wp:simplePos x="0" y="0"/>
          <wp:positionH relativeFrom="column">
            <wp:posOffset>2848945</wp:posOffset>
          </wp:positionH>
          <wp:positionV relativeFrom="page">
            <wp:posOffset>540943</wp:posOffset>
          </wp:positionV>
          <wp:extent cx="1979930" cy="507365"/>
          <wp:effectExtent l="0" t="0" r="1270" b="635"/>
          <wp:wrapNone/>
          <wp:docPr id="1885570337" name="Immagine 188557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Ance.eps"/>
                  <pic:cNvPicPr/>
                </pic:nvPicPr>
                <pic:blipFill>
                  <a:blip r:embed="rId1">
                    <a:extLst>
                      <a:ext uri="{28A0092B-C50C-407E-A947-70E740481C1C}">
                        <a14:useLocalDpi xmlns:a14="http://schemas.microsoft.com/office/drawing/2010/main" val="0"/>
                      </a:ext>
                    </a:extLst>
                  </a:blip>
                  <a:stretch>
                    <a:fillRect/>
                  </a:stretch>
                </pic:blipFill>
                <pic:spPr>
                  <a:xfrm>
                    <a:off x="0" y="0"/>
                    <a:ext cx="1979930" cy="5073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03DB6">
      <w:rPr>
        <w:noProof/>
      </w:rPr>
      <mc:AlternateContent>
        <mc:Choice Requires="wps">
          <w:drawing>
            <wp:anchor distT="0" distB="0" distL="114300" distR="114300" simplePos="0" relativeHeight="251673600" behindDoc="1" locked="1" layoutInCell="1" allowOverlap="1" wp14:anchorId="5C27E4B1" wp14:editId="520AF798">
              <wp:simplePos x="0" y="0"/>
              <wp:positionH relativeFrom="column">
                <wp:posOffset>-1427480</wp:posOffset>
              </wp:positionH>
              <wp:positionV relativeFrom="page">
                <wp:posOffset>9525</wp:posOffset>
              </wp:positionV>
              <wp:extent cx="5869940" cy="9086215"/>
              <wp:effectExtent l="0" t="0" r="0" b="6985"/>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9086215"/>
                      </a:xfrm>
                      <a:custGeom>
                        <a:avLst/>
                        <a:gdLst>
                          <a:gd name="T0" fmla="+- 0 4505 2"/>
                          <a:gd name="T1" fmla="*/ T0 w 9244"/>
                          <a:gd name="T2" fmla="*/ 0 h 14309"/>
                          <a:gd name="T3" fmla="+- 0 6 2"/>
                          <a:gd name="T4" fmla="*/ T3 w 9244"/>
                          <a:gd name="T5" fmla="*/ 0 h 14309"/>
                          <a:gd name="T6" fmla="+- 0 1631 2"/>
                          <a:gd name="T7" fmla="*/ T6 w 9244"/>
                          <a:gd name="T8" fmla="*/ 5129 h 14309"/>
                          <a:gd name="T9" fmla="+- 0 2 2"/>
                          <a:gd name="T10" fmla="*/ T9 w 9244"/>
                          <a:gd name="T11" fmla="*/ 5129 h 14309"/>
                          <a:gd name="T12" fmla="+- 0 2 2"/>
                          <a:gd name="T13" fmla="*/ T12 w 9244"/>
                          <a:gd name="T14" fmla="*/ 9549 h 14309"/>
                          <a:gd name="T15" fmla="+- 0 2889 2"/>
                          <a:gd name="T16" fmla="*/ T15 w 9244"/>
                          <a:gd name="T17" fmla="*/ 9549 h 14309"/>
                          <a:gd name="T18" fmla="+- 0 4316 2"/>
                          <a:gd name="T19" fmla="*/ T18 w 9244"/>
                          <a:gd name="T20" fmla="*/ 14308 h 14309"/>
                          <a:gd name="T21" fmla="+- 0 9246 2"/>
                          <a:gd name="T22" fmla="*/ T21 w 9244"/>
                          <a:gd name="T23" fmla="*/ 14308 h 14309"/>
                          <a:gd name="T24" fmla="+- 0 4505 2"/>
                          <a:gd name="T25" fmla="*/ T24 w 9244"/>
                          <a:gd name="T26" fmla="*/ 0 h 143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309">
                            <a:moveTo>
                              <a:pt x="4503" y="0"/>
                            </a:moveTo>
                            <a:lnTo>
                              <a:pt x="4" y="0"/>
                            </a:lnTo>
                            <a:lnTo>
                              <a:pt x="1629" y="5129"/>
                            </a:lnTo>
                            <a:lnTo>
                              <a:pt x="0" y="5129"/>
                            </a:lnTo>
                            <a:lnTo>
                              <a:pt x="0" y="9549"/>
                            </a:lnTo>
                            <a:lnTo>
                              <a:pt x="2887" y="9549"/>
                            </a:lnTo>
                            <a:lnTo>
                              <a:pt x="4314" y="14308"/>
                            </a:lnTo>
                            <a:lnTo>
                              <a:pt x="9244" y="14308"/>
                            </a:lnTo>
                            <a:lnTo>
                              <a:pt x="4503" y="0"/>
                            </a:lnTo>
                            <a:close/>
                          </a:path>
                        </a:pathLst>
                      </a:custGeom>
                      <a:solidFill>
                        <a:srgbClr val="DFE1E7"/>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7A6DFB" w14:textId="77777777" w:rsidR="00D03DB6" w:rsidRPr="002A26A0" w:rsidRDefault="00D03DB6" w:rsidP="00D03D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7E4B1" id="Freeform 3" o:spid="_x0000_s1026" style="position:absolute;margin-left:-112.4pt;margin-top:.75pt;width:462.2pt;height:715.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244,14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" adj="-11796480,,5400" path="m4503,l4,,1629,5129,,5129,,9549r2887,l4314,14308r4930,l4503,xe" fillcolor="#dfe1e7" stroked="f">
              <v:stroke joinstyle="miter"/>
              <v:formulas/>
              <v:path arrowok="t" o:connecttype="custom" o:connectlocs="2859405,0;2540,0;1034415,3256915;0,3256915;0,6063615;1833245,6063615;2739390,9085580;5869940,9085580;2859405,0" o:connectangles="0,0,0,0,0,0,0,0,0" textboxrect="0,0,9244,14309"/>
              <v:textbox>
                <w:txbxContent>
                  <w:p w14:paraId="287A6DFB" w14:textId="77777777" w:rsidR="00D03DB6" w:rsidRPr="002A26A0" w:rsidRDefault="00D03DB6" w:rsidP="00D03DB6">
                    <w:pPr>
                      <w:jc w:val="center"/>
                    </w:pPr>
                  </w:p>
                </w:txbxContent>
              </v:textbox>
              <w10:wrap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514B" w14:textId="3E87FCB9" w:rsidR="001C7A61" w:rsidRDefault="00D03DB6">
    <w:pPr>
      <w:pStyle w:val="Intestazione"/>
    </w:pPr>
    <w:r>
      <w:rPr>
        <w:noProof/>
      </w:rPr>
      <mc:AlternateContent>
        <mc:Choice Requires="wps">
          <w:drawing>
            <wp:anchor distT="0" distB="0" distL="114300" distR="114300" simplePos="0" relativeHeight="251667456" behindDoc="1" locked="1" layoutInCell="1" allowOverlap="1" wp14:anchorId="01F71589" wp14:editId="7F01D174">
              <wp:simplePos x="0" y="0"/>
              <wp:positionH relativeFrom="column">
                <wp:posOffset>-1266190</wp:posOffset>
              </wp:positionH>
              <wp:positionV relativeFrom="page">
                <wp:posOffset>9525</wp:posOffset>
              </wp:positionV>
              <wp:extent cx="5869940" cy="9086215"/>
              <wp:effectExtent l="0" t="0" r="0" b="6985"/>
              <wp:wrapNone/>
              <wp:docPr id="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9086215"/>
                      </a:xfrm>
                      <a:custGeom>
                        <a:avLst/>
                        <a:gdLst>
                          <a:gd name="T0" fmla="+- 0 4505 2"/>
                          <a:gd name="T1" fmla="*/ T0 w 9244"/>
                          <a:gd name="T2" fmla="*/ 0 h 14309"/>
                          <a:gd name="T3" fmla="+- 0 6 2"/>
                          <a:gd name="T4" fmla="*/ T3 w 9244"/>
                          <a:gd name="T5" fmla="*/ 0 h 14309"/>
                          <a:gd name="T6" fmla="+- 0 1631 2"/>
                          <a:gd name="T7" fmla="*/ T6 w 9244"/>
                          <a:gd name="T8" fmla="*/ 5129 h 14309"/>
                          <a:gd name="T9" fmla="+- 0 2 2"/>
                          <a:gd name="T10" fmla="*/ T9 w 9244"/>
                          <a:gd name="T11" fmla="*/ 5129 h 14309"/>
                          <a:gd name="T12" fmla="+- 0 2 2"/>
                          <a:gd name="T13" fmla="*/ T12 w 9244"/>
                          <a:gd name="T14" fmla="*/ 9549 h 14309"/>
                          <a:gd name="T15" fmla="+- 0 2889 2"/>
                          <a:gd name="T16" fmla="*/ T15 w 9244"/>
                          <a:gd name="T17" fmla="*/ 9549 h 14309"/>
                          <a:gd name="T18" fmla="+- 0 4316 2"/>
                          <a:gd name="T19" fmla="*/ T18 w 9244"/>
                          <a:gd name="T20" fmla="*/ 14308 h 14309"/>
                          <a:gd name="T21" fmla="+- 0 9246 2"/>
                          <a:gd name="T22" fmla="*/ T21 w 9244"/>
                          <a:gd name="T23" fmla="*/ 14308 h 14309"/>
                          <a:gd name="T24" fmla="+- 0 4505 2"/>
                          <a:gd name="T25" fmla="*/ T24 w 9244"/>
                          <a:gd name="T26" fmla="*/ 0 h 1430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309">
                            <a:moveTo>
                              <a:pt x="4503" y="0"/>
                            </a:moveTo>
                            <a:lnTo>
                              <a:pt x="4" y="0"/>
                            </a:lnTo>
                            <a:lnTo>
                              <a:pt x="1629" y="5129"/>
                            </a:lnTo>
                            <a:lnTo>
                              <a:pt x="0" y="5129"/>
                            </a:lnTo>
                            <a:lnTo>
                              <a:pt x="0" y="9549"/>
                            </a:lnTo>
                            <a:lnTo>
                              <a:pt x="2887" y="9549"/>
                            </a:lnTo>
                            <a:lnTo>
                              <a:pt x="4314" y="14308"/>
                            </a:lnTo>
                            <a:lnTo>
                              <a:pt x="9244" y="14308"/>
                            </a:lnTo>
                            <a:lnTo>
                              <a:pt x="4503" y="0"/>
                            </a:lnTo>
                            <a:close/>
                          </a:path>
                        </a:pathLst>
                      </a:custGeom>
                      <a:solidFill>
                        <a:srgbClr val="DFE1E7"/>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AF7190" w14:textId="77777777" w:rsidR="00D03DB6" w:rsidRPr="002A26A0" w:rsidRDefault="00D03DB6" w:rsidP="00D03D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71589" id="_x0000_s1027" style="position:absolute;margin-left:-99.7pt;margin-top:.75pt;width:462.2pt;height:71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244,14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" adj="-11796480,,5400" path="m4503,l4,,1629,5129,,5129,,9549r2887,l4314,14308r4930,l4503,xe" fillcolor="#dfe1e7" stroked="f">
              <v:stroke joinstyle="miter"/>
              <v:formulas/>
              <v:path arrowok="t" o:connecttype="custom" o:connectlocs="2859405,0;2540,0;1034415,3256915;0,3256915;0,6063615;1833245,6063615;2739390,9085580;5869940,9085580;2859405,0" o:connectangles="0,0,0,0,0,0,0,0,0" textboxrect="0,0,9244,14309"/>
              <v:textbox>
                <w:txbxContent>
                  <w:p w14:paraId="7AAF7190" w14:textId="77777777" w:rsidR="00D03DB6" w:rsidRPr="002A26A0" w:rsidRDefault="00D03DB6" w:rsidP="00D03DB6">
                    <w:pPr>
                      <w:jc w:val="center"/>
                    </w:pPr>
                  </w:p>
                </w:txbxContent>
              </v:textbox>
              <w10:wrap anchory="page"/>
              <w10:anchorlock/>
            </v:shape>
          </w:pict>
        </mc:Fallback>
      </mc:AlternateContent>
    </w:r>
    <w:r w:rsidR="001C7A61" w:rsidRPr="008A0386">
      <w:rPr>
        <w:noProof/>
      </w:rPr>
      <w:drawing>
        <wp:anchor distT="0" distB="0" distL="114300" distR="114300" simplePos="0" relativeHeight="251665408" behindDoc="0" locked="0" layoutInCell="1" allowOverlap="1" wp14:anchorId="0E7F5735" wp14:editId="4B43F2BF">
          <wp:simplePos x="0" y="0"/>
          <wp:positionH relativeFrom="column">
            <wp:posOffset>3442628</wp:posOffset>
          </wp:positionH>
          <wp:positionV relativeFrom="page">
            <wp:posOffset>549910</wp:posOffset>
          </wp:positionV>
          <wp:extent cx="1560195" cy="400050"/>
          <wp:effectExtent l="0" t="0" r="0" b="6350"/>
          <wp:wrapNone/>
          <wp:docPr id="1359261221" name="Immagine 135926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Ance.eps"/>
                  <pic:cNvPicPr/>
                </pic:nvPicPr>
                <pic:blipFill>
                  <a:blip r:embed="rId1">
                    <a:extLst>
                      <a:ext uri="{28A0092B-C50C-407E-A947-70E740481C1C}">
                        <a14:useLocalDpi xmlns:a14="http://schemas.microsoft.com/office/drawing/2010/main" val="0"/>
                      </a:ext>
                    </a:extLst>
                  </a:blip>
                  <a:stretch>
                    <a:fillRect/>
                  </a:stretch>
                </pic:blipFill>
                <pic:spPr>
                  <a:xfrm>
                    <a:off x="0" y="0"/>
                    <a:ext cx="1560195" cy="4000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22E70"/>
    <w:multiLevelType w:val="hybridMultilevel"/>
    <w:tmpl w:val="7F72DDFA"/>
    <w:lvl w:ilvl="0" w:tplc="B6A8C49A">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84A6C21"/>
    <w:multiLevelType w:val="hybridMultilevel"/>
    <w:tmpl w:val="E5AEDF5E"/>
    <w:lvl w:ilvl="0" w:tplc="AC606322">
      <w:start w:val="1"/>
      <w:numFmt w:val="decimal"/>
      <w:lvlText w:val="%1."/>
      <w:lvlJc w:val="left"/>
      <w:pPr>
        <w:ind w:left="685" w:hanging="299"/>
      </w:pPr>
      <w:rPr>
        <w:rFonts w:ascii="Calibri" w:eastAsia="Calibri" w:hAnsi="Calibri" w:cs="Calibri" w:hint="default"/>
        <w:b/>
        <w:bCs/>
        <w:color w:val="174083"/>
        <w:w w:val="99"/>
        <w:sz w:val="28"/>
        <w:szCs w:val="28"/>
        <w:lang w:val="it-IT" w:eastAsia="en-US" w:bidi="ar-SA"/>
      </w:rPr>
    </w:lvl>
    <w:lvl w:ilvl="1" w:tplc="7E48FE0C">
      <w:numFmt w:val="bullet"/>
      <w:lvlText w:val="•"/>
      <w:lvlJc w:val="left"/>
      <w:pPr>
        <w:ind w:left="1602" w:hanging="299"/>
      </w:pPr>
      <w:rPr>
        <w:rFonts w:hint="default"/>
        <w:lang w:val="it-IT" w:eastAsia="en-US" w:bidi="ar-SA"/>
      </w:rPr>
    </w:lvl>
    <w:lvl w:ilvl="2" w:tplc="AF7A5B4A">
      <w:numFmt w:val="bullet"/>
      <w:lvlText w:val="•"/>
      <w:lvlJc w:val="left"/>
      <w:pPr>
        <w:ind w:left="2525" w:hanging="299"/>
      </w:pPr>
      <w:rPr>
        <w:rFonts w:hint="default"/>
        <w:lang w:val="it-IT" w:eastAsia="en-US" w:bidi="ar-SA"/>
      </w:rPr>
    </w:lvl>
    <w:lvl w:ilvl="3" w:tplc="8A345F66">
      <w:numFmt w:val="bullet"/>
      <w:lvlText w:val="•"/>
      <w:lvlJc w:val="left"/>
      <w:pPr>
        <w:ind w:left="3447" w:hanging="299"/>
      </w:pPr>
      <w:rPr>
        <w:rFonts w:hint="default"/>
        <w:lang w:val="it-IT" w:eastAsia="en-US" w:bidi="ar-SA"/>
      </w:rPr>
    </w:lvl>
    <w:lvl w:ilvl="4" w:tplc="2020DE8C">
      <w:numFmt w:val="bullet"/>
      <w:lvlText w:val="•"/>
      <w:lvlJc w:val="left"/>
      <w:pPr>
        <w:ind w:left="4370" w:hanging="299"/>
      </w:pPr>
      <w:rPr>
        <w:rFonts w:hint="default"/>
        <w:lang w:val="it-IT" w:eastAsia="en-US" w:bidi="ar-SA"/>
      </w:rPr>
    </w:lvl>
    <w:lvl w:ilvl="5" w:tplc="3324553E">
      <w:numFmt w:val="bullet"/>
      <w:lvlText w:val="•"/>
      <w:lvlJc w:val="left"/>
      <w:pPr>
        <w:ind w:left="5292" w:hanging="299"/>
      </w:pPr>
      <w:rPr>
        <w:rFonts w:hint="default"/>
        <w:lang w:val="it-IT" w:eastAsia="en-US" w:bidi="ar-SA"/>
      </w:rPr>
    </w:lvl>
    <w:lvl w:ilvl="6" w:tplc="B3C88EB0">
      <w:numFmt w:val="bullet"/>
      <w:lvlText w:val="•"/>
      <w:lvlJc w:val="left"/>
      <w:pPr>
        <w:ind w:left="6215" w:hanging="299"/>
      </w:pPr>
      <w:rPr>
        <w:rFonts w:hint="default"/>
        <w:lang w:val="it-IT" w:eastAsia="en-US" w:bidi="ar-SA"/>
      </w:rPr>
    </w:lvl>
    <w:lvl w:ilvl="7" w:tplc="85D6D922">
      <w:numFmt w:val="bullet"/>
      <w:lvlText w:val="•"/>
      <w:lvlJc w:val="left"/>
      <w:pPr>
        <w:ind w:left="7137" w:hanging="299"/>
      </w:pPr>
      <w:rPr>
        <w:rFonts w:hint="default"/>
        <w:lang w:val="it-IT" w:eastAsia="en-US" w:bidi="ar-SA"/>
      </w:rPr>
    </w:lvl>
    <w:lvl w:ilvl="8" w:tplc="92CC16B0">
      <w:numFmt w:val="bullet"/>
      <w:lvlText w:val="•"/>
      <w:lvlJc w:val="left"/>
      <w:pPr>
        <w:ind w:left="8060" w:hanging="299"/>
      </w:pPr>
      <w:rPr>
        <w:rFonts w:hint="default"/>
        <w:lang w:val="it-IT" w:eastAsia="en-US" w:bidi="ar-SA"/>
      </w:rPr>
    </w:lvl>
  </w:abstractNum>
  <w:abstractNum w:abstractNumId="2" w15:restartNumberingAfterBreak="0">
    <w:nsid w:val="45145049"/>
    <w:multiLevelType w:val="hybridMultilevel"/>
    <w:tmpl w:val="784A4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29384800">
    <w:abstractNumId w:val="1"/>
  </w:num>
  <w:num w:numId="2" w16cid:durableId="698513174">
    <w:abstractNumId w:val="0"/>
  </w:num>
  <w:num w:numId="3" w16cid:durableId="839123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41"/>
    <w:rsid w:val="00004CDC"/>
    <w:rsid w:val="00015758"/>
    <w:rsid w:val="00023203"/>
    <w:rsid w:val="0002396E"/>
    <w:rsid w:val="00026D28"/>
    <w:rsid w:val="0008332C"/>
    <w:rsid w:val="000A56CA"/>
    <w:rsid w:val="000B1A02"/>
    <w:rsid w:val="000D510C"/>
    <w:rsid w:val="001014C1"/>
    <w:rsid w:val="0012677C"/>
    <w:rsid w:val="00130881"/>
    <w:rsid w:val="001811C8"/>
    <w:rsid w:val="00192D49"/>
    <w:rsid w:val="001B525F"/>
    <w:rsid w:val="001B74F7"/>
    <w:rsid w:val="001C7A61"/>
    <w:rsid w:val="001E12EC"/>
    <w:rsid w:val="00213952"/>
    <w:rsid w:val="002252A3"/>
    <w:rsid w:val="0023541E"/>
    <w:rsid w:val="00251D4D"/>
    <w:rsid w:val="00263666"/>
    <w:rsid w:val="0028103A"/>
    <w:rsid w:val="002B3C0B"/>
    <w:rsid w:val="00304550"/>
    <w:rsid w:val="00311301"/>
    <w:rsid w:val="00313962"/>
    <w:rsid w:val="00316535"/>
    <w:rsid w:val="003170EA"/>
    <w:rsid w:val="00343037"/>
    <w:rsid w:val="00351A53"/>
    <w:rsid w:val="00360656"/>
    <w:rsid w:val="00383E41"/>
    <w:rsid w:val="003878B0"/>
    <w:rsid w:val="00392F6B"/>
    <w:rsid w:val="003A53CB"/>
    <w:rsid w:val="003E20C5"/>
    <w:rsid w:val="00430A61"/>
    <w:rsid w:val="00431690"/>
    <w:rsid w:val="00431B49"/>
    <w:rsid w:val="00465754"/>
    <w:rsid w:val="004F2EBB"/>
    <w:rsid w:val="00500842"/>
    <w:rsid w:val="005305CE"/>
    <w:rsid w:val="005677AE"/>
    <w:rsid w:val="00586226"/>
    <w:rsid w:val="005B2A8F"/>
    <w:rsid w:val="005E1411"/>
    <w:rsid w:val="005E1C0A"/>
    <w:rsid w:val="005F42A0"/>
    <w:rsid w:val="005F55E8"/>
    <w:rsid w:val="00680A34"/>
    <w:rsid w:val="00687310"/>
    <w:rsid w:val="006C6AA0"/>
    <w:rsid w:val="006D6DE0"/>
    <w:rsid w:val="006E321F"/>
    <w:rsid w:val="006F3FE1"/>
    <w:rsid w:val="006F51DD"/>
    <w:rsid w:val="00740344"/>
    <w:rsid w:val="00744387"/>
    <w:rsid w:val="0078497D"/>
    <w:rsid w:val="008065B9"/>
    <w:rsid w:val="008125D5"/>
    <w:rsid w:val="00840F0D"/>
    <w:rsid w:val="008520E8"/>
    <w:rsid w:val="00856410"/>
    <w:rsid w:val="00873139"/>
    <w:rsid w:val="008B18CF"/>
    <w:rsid w:val="008E51D4"/>
    <w:rsid w:val="008E6AFF"/>
    <w:rsid w:val="008F7D23"/>
    <w:rsid w:val="00952184"/>
    <w:rsid w:val="00963134"/>
    <w:rsid w:val="00994DC4"/>
    <w:rsid w:val="009A3073"/>
    <w:rsid w:val="009D5F6B"/>
    <w:rsid w:val="009E1183"/>
    <w:rsid w:val="00A21540"/>
    <w:rsid w:val="00A56083"/>
    <w:rsid w:val="00AC27C8"/>
    <w:rsid w:val="00AF2E08"/>
    <w:rsid w:val="00AF30A8"/>
    <w:rsid w:val="00AF34AE"/>
    <w:rsid w:val="00B137A4"/>
    <w:rsid w:val="00B45704"/>
    <w:rsid w:val="00BC35A2"/>
    <w:rsid w:val="00BD5343"/>
    <w:rsid w:val="00C1362F"/>
    <w:rsid w:val="00C67E7B"/>
    <w:rsid w:val="00C70447"/>
    <w:rsid w:val="00C83983"/>
    <w:rsid w:val="00CD618B"/>
    <w:rsid w:val="00D03DB6"/>
    <w:rsid w:val="00D12E56"/>
    <w:rsid w:val="00D94EF5"/>
    <w:rsid w:val="00DD1566"/>
    <w:rsid w:val="00EA02E8"/>
    <w:rsid w:val="00ED47F3"/>
    <w:rsid w:val="00EE7EAA"/>
    <w:rsid w:val="00F14AB8"/>
    <w:rsid w:val="00F46713"/>
    <w:rsid w:val="00F56007"/>
    <w:rsid w:val="00F93B1C"/>
    <w:rsid w:val="00FC262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780217"/>
  <w14:defaultImageDpi w14:val="300"/>
  <w15:docId w15:val="{566AC1F0-4ED8-4C6F-8B0E-EE299362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3E4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essunaspaziatura"/>
    <w:qFormat/>
    <w:rsid w:val="006E321F"/>
    <w:pPr>
      <w:widowControl w:val="0"/>
      <w:autoSpaceDE w:val="0"/>
      <w:autoSpaceDN w:val="0"/>
      <w:jc w:val="right"/>
    </w:pPr>
    <w:rPr>
      <w:rFonts w:ascii="Calibri" w:eastAsia="Calibri" w:hAnsi="Calibri" w:cs="Calibri"/>
      <w:b/>
      <w:color w:val="FFFFFF" w:themeColor="background1"/>
      <w:spacing w:val="5"/>
      <w:w w:val="120"/>
      <w:sz w:val="52"/>
      <w:szCs w:val="52"/>
      <w:lang w:bidi="it-IT"/>
    </w:rPr>
  </w:style>
  <w:style w:type="paragraph" w:styleId="Nessunaspaziatura">
    <w:name w:val="No Spacing"/>
    <w:uiPriority w:val="1"/>
    <w:qFormat/>
    <w:rsid w:val="006E321F"/>
  </w:style>
  <w:style w:type="paragraph" w:customStyle="1" w:styleId="titolocover">
    <w:name w:val="titolo cover"/>
    <w:basedOn w:val="Nessunaspaziatura"/>
    <w:qFormat/>
    <w:rsid w:val="006E321F"/>
    <w:pPr>
      <w:jc w:val="right"/>
    </w:pPr>
    <w:rPr>
      <w:rFonts w:asciiTheme="majorHAnsi" w:hAnsiTheme="majorHAnsi"/>
      <w:b/>
      <w:color w:val="FFFFFF" w:themeColor="background1"/>
      <w:spacing w:val="5"/>
      <w:w w:val="120"/>
      <w:sz w:val="52"/>
      <w:szCs w:val="52"/>
    </w:rPr>
  </w:style>
  <w:style w:type="paragraph" w:styleId="Intestazione">
    <w:name w:val="header"/>
    <w:basedOn w:val="Normale"/>
    <w:link w:val="IntestazioneCarattere"/>
    <w:uiPriority w:val="99"/>
    <w:unhideWhenUsed/>
    <w:rsid w:val="00383E41"/>
    <w:pPr>
      <w:tabs>
        <w:tab w:val="center" w:pos="4819"/>
        <w:tab w:val="right" w:pos="9638"/>
      </w:tabs>
    </w:pPr>
  </w:style>
  <w:style w:type="character" w:customStyle="1" w:styleId="IntestazioneCarattere">
    <w:name w:val="Intestazione Carattere"/>
    <w:basedOn w:val="Carpredefinitoparagrafo"/>
    <w:link w:val="Intestazione"/>
    <w:uiPriority w:val="99"/>
    <w:rsid w:val="00383E41"/>
  </w:style>
  <w:style w:type="paragraph" w:styleId="Pidipagina">
    <w:name w:val="footer"/>
    <w:basedOn w:val="Normale"/>
    <w:link w:val="PidipaginaCarattere"/>
    <w:uiPriority w:val="99"/>
    <w:unhideWhenUsed/>
    <w:rsid w:val="00383E41"/>
    <w:pPr>
      <w:tabs>
        <w:tab w:val="center" w:pos="4819"/>
        <w:tab w:val="right" w:pos="9638"/>
      </w:tabs>
    </w:pPr>
  </w:style>
  <w:style w:type="character" w:customStyle="1" w:styleId="PidipaginaCarattere">
    <w:name w:val="Piè di pagina Carattere"/>
    <w:basedOn w:val="Carpredefinitoparagrafo"/>
    <w:link w:val="Pidipagina"/>
    <w:uiPriority w:val="99"/>
    <w:rsid w:val="00383E41"/>
  </w:style>
  <w:style w:type="character" w:styleId="Numeropagina">
    <w:name w:val="page number"/>
    <w:basedOn w:val="Carpredefinitoparagrafo"/>
    <w:uiPriority w:val="99"/>
    <w:semiHidden/>
    <w:unhideWhenUsed/>
    <w:rsid w:val="00383E41"/>
  </w:style>
  <w:style w:type="paragraph" w:styleId="Paragrafoelenco">
    <w:name w:val="List Paragraph"/>
    <w:basedOn w:val="Normale"/>
    <w:uiPriority w:val="1"/>
    <w:qFormat/>
    <w:rsid w:val="00383E41"/>
    <w:pPr>
      <w:widowControl w:val="0"/>
      <w:autoSpaceDE w:val="0"/>
      <w:autoSpaceDN w:val="0"/>
      <w:spacing w:before="328" w:line="346" w:lineRule="exact"/>
      <w:ind w:left="685" w:hanging="299"/>
    </w:pPr>
    <w:rPr>
      <w:rFonts w:ascii="Calibri" w:eastAsia="Calibri" w:hAnsi="Calibri" w:cs="Calibri"/>
      <w:sz w:val="22"/>
      <w:szCs w:val="22"/>
      <w:lang w:eastAsia="en-US"/>
    </w:rPr>
  </w:style>
  <w:style w:type="paragraph" w:styleId="Testofumetto">
    <w:name w:val="Balloon Text"/>
    <w:basedOn w:val="Normale"/>
    <w:link w:val="TestofumettoCarattere"/>
    <w:uiPriority w:val="99"/>
    <w:semiHidden/>
    <w:unhideWhenUsed/>
    <w:rsid w:val="00D12E5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12E56"/>
    <w:rPr>
      <w:rFonts w:ascii="Lucida Grande" w:hAnsi="Lucida Grande" w:cs="Lucida Grande"/>
      <w:sz w:val="18"/>
      <w:szCs w:val="18"/>
    </w:rPr>
  </w:style>
  <w:style w:type="paragraph" w:customStyle="1" w:styleId="Default">
    <w:name w:val="Default"/>
    <w:rsid w:val="000D510C"/>
    <w:pPr>
      <w:autoSpaceDE w:val="0"/>
      <w:autoSpaceDN w:val="0"/>
      <w:adjustRightInd w:val="0"/>
    </w:pPr>
    <w:rPr>
      <w:rFonts w:ascii="Titillium Web" w:hAnsi="Titillium Web" w:cs="Titillium Web"/>
      <w:color w:val="000000"/>
    </w:rPr>
  </w:style>
  <w:style w:type="character" w:styleId="Collegamentoipertestuale">
    <w:name w:val="Hyperlink"/>
    <w:basedOn w:val="Carpredefinitoparagrafo"/>
    <w:uiPriority w:val="99"/>
    <w:unhideWhenUsed/>
    <w:rsid w:val="00AF30A8"/>
    <w:rPr>
      <w:color w:val="0000FF" w:themeColor="hyperlink"/>
      <w:u w:val="single"/>
    </w:rPr>
  </w:style>
  <w:style w:type="character" w:styleId="Menzionenonrisolta">
    <w:name w:val="Unresolved Mention"/>
    <w:basedOn w:val="Carpredefinitoparagrafo"/>
    <w:uiPriority w:val="99"/>
    <w:semiHidden/>
    <w:unhideWhenUsed/>
    <w:rsid w:val="00AF3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48627-917E-4047-9BBB-C0606FD68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525</Words>
  <Characters>2993</Characters>
  <Application>Microsoft Office Word</Application>
  <DocSecurity>0</DocSecurity>
  <Lines>24</Lines>
  <Paragraphs>7</Paragraphs>
  <ScaleCrop>false</ScaleCrop>
  <HeadingPairs>
    <vt:vector size="2" baseType="variant">
      <vt:variant>
        <vt:lpstr>Titolo</vt:lpstr>
      </vt:variant>
      <vt:variant>
        <vt:i4>1</vt:i4>
      </vt:variant>
    </vt:vector>
  </HeadingPairs>
  <TitlesOfParts>
    <vt:vector size="1" baseType="lpstr">
      <vt:lpstr/>
    </vt:vector>
  </TitlesOfParts>
  <Company>Civita</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Salomone</dc:creator>
  <cp:lastModifiedBy>Utente 2</cp:lastModifiedBy>
  <cp:revision>2</cp:revision>
  <cp:lastPrinted>2023-06-14T09:21:00Z</cp:lastPrinted>
  <dcterms:created xsi:type="dcterms:W3CDTF">2023-06-15T06:55:00Z</dcterms:created>
  <dcterms:modified xsi:type="dcterms:W3CDTF">2023-06-15T06:55:00Z</dcterms:modified>
</cp:coreProperties>
</file>