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A655"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Con il Decreto-legge 24 febbraio 2023, n. 13, finalizzato a velocizzare e snellire l’attuazione degli interventi previsti dal PNRR, sono state introdotte alcune disposizioni di diretto interesse per l’edilizia privata convergenti con gli obiettivi dell’Ance. Si tratta di misure in tema, tra l’altro, di Conferenza di servizi “accelerata”, di semplificazioni procedurali per i beni culturali e per il rilascio dell’autorizzazione paesaggistica in caso di installazione di impianti solari (</w:t>
      </w:r>
      <w:hyperlink r:id="rId7" w:tgtFrame="_blank" w:history="1">
        <w:r w:rsidRPr="001D7A5A">
          <w:rPr>
            <w:rFonts w:ascii="Work Sans" w:eastAsia="Times New Roman" w:hAnsi="Work Sans" w:cs="Times New Roman"/>
            <w:color w:val="003A79"/>
            <w:kern w:val="0"/>
            <w:sz w:val="24"/>
            <w:szCs w:val="24"/>
            <w:u w:val="single"/>
            <w:bdr w:val="none" w:sz="0" w:space="0" w:color="auto" w:frame="1"/>
            <w:lang w:eastAsia="it-IT"/>
            <w14:ligatures w14:val="none"/>
          </w:rPr>
          <w:t>vedi news Ance del 28/02/2023</w:t>
        </w:r>
      </w:hyperlink>
      <w:r w:rsidRPr="001D7A5A">
        <w:rPr>
          <w:rFonts w:ascii="Work Sans" w:eastAsia="Times New Roman" w:hAnsi="Work Sans" w:cs="Times New Roman"/>
          <w:color w:val="000000"/>
          <w:kern w:val="0"/>
          <w:sz w:val="24"/>
          <w:szCs w:val="24"/>
          <w:lang w:eastAsia="it-IT"/>
          <w14:ligatures w14:val="none"/>
        </w:rPr>
        <w:t>).</w:t>
      </w:r>
    </w:p>
    <w:p w14:paraId="4794CFE3"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Con la conversione del Decreto 13/2023 ad opera della Legge 21 aprile 2023, n. 41 (</w:t>
      </w:r>
      <w:r w:rsidRPr="001D7A5A">
        <w:rPr>
          <w:rFonts w:ascii="inherit" w:eastAsia="Times New Roman" w:hAnsi="inherit" w:cs="Times New Roman"/>
          <w:i/>
          <w:iCs/>
          <w:color w:val="000000"/>
          <w:kern w:val="0"/>
          <w:sz w:val="24"/>
          <w:szCs w:val="24"/>
          <w:bdr w:val="none" w:sz="0" w:space="0" w:color="auto" w:frame="1"/>
          <w:lang w:eastAsia="it-IT"/>
          <w14:ligatures w14:val="none"/>
        </w:rPr>
        <w:t>pubblicata sulla Gazzetta Ufficiale n. 94 del 21 aprile 2023</w:t>
      </w:r>
      <w:r w:rsidRPr="001D7A5A">
        <w:rPr>
          <w:rFonts w:ascii="Work Sans" w:eastAsia="Times New Roman" w:hAnsi="Work Sans" w:cs="Times New Roman"/>
          <w:color w:val="000000"/>
          <w:kern w:val="0"/>
          <w:sz w:val="24"/>
          <w:szCs w:val="24"/>
          <w:lang w:eastAsia="it-IT"/>
          <w14:ligatures w14:val="none"/>
        </w:rPr>
        <w:t>) tali misure sono state confermate in alcuni casi con modifiche (ad es. Conferenza di servizi “accelerata”) e sono state introdotte ulteriori misure di interesse, come quelle in materia di accordi di programma e sul regime autorizzatorio per l’esercizio delle strutture residenziali universitarie.</w:t>
      </w:r>
    </w:p>
    <w:p w14:paraId="32F81C78"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Di seguito una breve analisi delle norme di interesse come modificate dalla Legge 41/2023.</w:t>
      </w:r>
    </w:p>
    <w:p w14:paraId="7368FBBC"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p>
    <w:p w14:paraId="1D8E5AD4"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Conferenza di servizi “accelerata” </w:t>
      </w:r>
      <w:r w:rsidRPr="001D7A5A">
        <w:rPr>
          <w:rFonts w:ascii="inherit" w:eastAsia="Times New Roman" w:hAnsi="inherit" w:cs="Times New Roman"/>
          <w:b/>
          <w:bCs/>
          <w:i/>
          <w:iCs/>
          <w:color w:val="000000"/>
          <w:kern w:val="0"/>
          <w:sz w:val="24"/>
          <w:szCs w:val="24"/>
          <w:u w:val="single"/>
          <w:bdr w:val="none" w:sz="0" w:space="0" w:color="auto" w:frame="1"/>
          <w:lang w:eastAsia="it-IT"/>
          <w14:ligatures w14:val="none"/>
        </w:rPr>
        <w:t>(art. 14, comma 8)</w:t>
      </w:r>
    </w:p>
    <w:p w14:paraId="793F307C"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La principale novità della Legge 41/2023 riguarda la conferenza di servizi “accelerata” (vale a dire in modalità semplificata e asincrona) - originariamente disciplinata dall’art. 13 DL 76/2020 e resa da facoltativa ad obbligatoria per le p.a. dal DL 13/2023 – che è stata prorogata </w:t>
      </w:r>
      <w:r w:rsidRPr="001D7A5A">
        <w:rPr>
          <w:rFonts w:ascii="inherit" w:eastAsia="Times New Roman" w:hAnsi="inherit" w:cs="Times New Roman"/>
          <w:b/>
          <w:bCs/>
          <w:color w:val="000000"/>
          <w:kern w:val="0"/>
          <w:sz w:val="24"/>
          <w:szCs w:val="24"/>
          <w:bdr w:val="none" w:sz="0" w:space="0" w:color="auto" w:frame="1"/>
          <w:lang w:eastAsia="it-IT"/>
          <w14:ligatures w14:val="none"/>
        </w:rPr>
        <w:t>dal 30 giugno 2023 al 30 giugno 2024</w:t>
      </w:r>
      <w:r w:rsidRPr="001D7A5A">
        <w:rPr>
          <w:rFonts w:ascii="Work Sans" w:eastAsia="Times New Roman" w:hAnsi="Work Sans" w:cs="Times New Roman"/>
          <w:color w:val="000000"/>
          <w:kern w:val="0"/>
          <w:sz w:val="24"/>
          <w:szCs w:val="24"/>
          <w:lang w:eastAsia="it-IT"/>
          <w14:ligatures w14:val="none"/>
        </w:rPr>
        <w:t>.</w:t>
      </w:r>
    </w:p>
    <w:p w14:paraId="0833EB1A"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Tale proroga va nella direzione auspicata dall’Ance che aveva proposto una estensione della durata di tale conferenza fino al completamento del PNRR e quindi almeno fino al 2026.</w:t>
      </w:r>
    </w:p>
    <w:p w14:paraId="4ACF0735"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p>
    <w:p w14:paraId="03545007"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Accordi di programma </w:t>
      </w:r>
      <w:r w:rsidRPr="001D7A5A">
        <w:rPr>
          <w:rFonts w:ascii="inherit" w:eastAsia="Times New Roman" w:hAnsi="inherit" w:cs="Times New Roman"/>
          <w:b/>
          <w:bCs/>
          <w:i/>
          <w:iCs/>
          <w:color w:val="000000"/>
          <w:kern w:val="0"/>
          <w:sz w:val="24"/>
          <w:szCs w:val="24"/>
          <w:u w:val="single"/>
          <w:bdr w:val="none" w:sz="0" w:space="0" w:color="auto" w:frame="1"/>
          <w:lang w:eastAsia="it-IT"/>
          <w14:ligatures w14:val="none"/>
        </w:rPr>
        <w:t>(art. 14-bis</w:t>
      </w: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w:t>
      </w:r>
    </w:p>
    <w:p w14:paraId="548ED2DD"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Per garantire il rispetto del cronoprogramma degli interventi previsti nell’ambito di accordi di programma, viene integrato l’art. 34 del D.lgs. 267/2000 “Testo Unico Enti Locali”, stabilendo che l’accordo - consistente nell’assenso unanime delle amministrazioni interessate - deve essere:</w:t>
      </w:r>
    </w:p>
    <w:p w14:paraId="063C5C94"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r w:rsidRPr="001D7A5A">
        <w:rPr>
          <w:rFonts w:ascii="inherit" w:eastAsia="Times New Roman" w:hAnsi="inherit" w:cs="Times New Roman"/>
          <w:b/>
          <w:bCs/>
          <w:color w:val="000000"/>
          <w:kern w:val="0"/>
          <w:sz w:val="24"/>
          <w:szCs w:val="24"/>
          <w:bdr w:val="none" w:sz="0" w:space="0" w:color="auto" w:frame="1"/>
          <w:lang w:eastAsia="it-IT"/>
          <w14:ligatures w14:val="none"/>
        </w:rPr>
        <w:t>sottoscritto entro 60 giorni </w:t>
      </w:r>
      <w:r w:rsidRPr="001D7A5A">
        <w:rPr>
          <w:rFonts w:ascii="Work Sans" w:eastAsia="Times New Roman" w:hAnsi="Work Sans" w:cs="Times New Roman"/>
          <w:color w:val="000000"/>
          <w:kern w:val="0"/>
          <w:sz w:val="24"/>
          <w:szCs w:val="24"/>
          <w:lang w:eastAsia="it-IT"/>
          <w14:ligatures w14:val="none"/>
        </w:rPr>
        <w:t>dalla comunicazione dell’esito positivo della apposita conferenza di servizi indetta per l’acquisizione delle determinazioni delle varie amministrazioni;</w:t>
      </w:r>
    </w:p>
    <w:p w14:paraId="54B860A6"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r w:rsidRPr="001D7A5A">
        <w:rPr>
          <w:rFonts w:ascii="inherit" w:eastAsia="Times New Roman" w:hAnsi="inherit" w:cs="Times New Roman"/>
          <w:b/>
          <w:bCs/>
          <w:color w:val="000000"/>
          <w:kern w:val="0"/>
          <w:sz w:val="24"/>
          <w:szCs w:val="24"/>
          <w:bdr w:val="none" w:sz="0" w:space="0" w:color="auto" w:frame="1"/>
          <w:lang w:eastAsia="it-IT"/>
          <w14:ligatures w14:val="none"/>
        </w:rPr>
        <w:t>approvato con atto formale</w:t>
      </w:r>
      <w:r w:rsidRPr="001D7A5A">
        <w:rPr>
          <w:rFonts w:ascii="Work Sans" w:eastAsia="Times New Roman" w:hAnsi="Work Sans" w:cs="Times New Roman"/>
          <w:color w:val="000000"/>
          <w:kern w:val="0"/>
          <w:sz w:val="24"/>
          <w:szCs w:val="24"/>
          <w:lang w:eastAsia="it-IT"/>
          <w14:ligatures w14:val="none"/>
        </w:rPr>
        <w:t> del presidente della Regione, della Provincia o del sindaco;</w:t>
      </w:r>
    </w:p>
    <w:p w14:paraId="406093B3"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r w:rsidRPr="001D7A5A">
        <w:rPr>
          <w:rFonts w:ascii="inherit" w:eastAsia="Times New Roman" w:hAnsi="inherit" w:cs="Times New Roman"/>
          <w:b/>
          <w:bCs/>
          <w:color w:val="000000"/>
          <w:kern w:val="0"/>
          <w:sz w:val="24"/>
          <w:szCs w:val="24"/>
          <w:bdr w:val="none" w:sz="0" w:space="0" w:color="auto" w:frame="1"/>
          <w:lang w:eastAsia="it-IT"/>
          <w14:ligatures w14:val="none"/>
        </w:rPr>
        <w:t>pubblicato </w:t>
      </w:r>
      <w:r w:rsidRPr="001D7A5A">
        <w:rPr>
          <w:rFonts w:ascii="Work Sans" w:eastAsia="Times New Roman" w:hAnsi="Work Sans" w:cs="Times New Roman"/>
          <w:color w:val="000000"/>
          <w:kern w:val="0"/>
          <w:sz w:val="24"/>
          <w:szCs w:val="24"/>
          <w:lang w:eastAsia="it-IT"/>
          <w14:ligatures w14:val="none"/>
        </w:rPr>
        <w:t>sul Bollettino Ufficiale della Regione;</w:t>
      </w:r>
    </w:p>
    <w:p w14:paraId="540F1A3C"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lastRenderedPageBreak/>
        <w:t>- qualora adottato con decreto del Presidente della Regione, produce gli effetti dell’Intesa di cui all’art. 81 Dpr 616/1977 (ossia l’intesa Stato/Regione per la localizzazione delle opere statali), determinando la variazione dello strumento urbanistico e sostituendo il permesso di costruire, se vi è l’assenso del comune interessato. Con riferimento alla norma richiamata, si evidenzia che essa è stata per la gran parte abrogata dal Dpr 383/1994 “</w:t>
      </w:r>
      <w:r w:rsidRPr="001D7A5A">
        <w:rPr>
          <w:rFonts w:ascii="inherit" w:eastAsia="Times New Roman" w:hAnsi="inherit" w:cs="Times New Roman"/>
          <w:i/>
          <w:iCs/>
          <w:color w:val="000000"/>
          <w:kern w:val="0"/>
          <w:sz w:val="24"/>
          <w:szCs w:val="24"/>
          <w:bdr w:val="none" w:sz="0" w:space="0" w:color="auto" w:frame="1"/>
          <w:lang w:eastAsia="it-IT"/>
          <w14:ligatures w14:val="none"/>
        </w:rPr>
        <w:t>Regolamento recante disciplina dei procedimenti di localizzazione delle opere di interesse statale</w:t>
      </w:r>
      <w:r w:rsidRPr="001D7A5A">
        <w:rPr>
          <w:rFonts w:ascii="Work Sans" w:eastAsia="Times New Roman" w:hAnsi="Work Sans" w:cs="Times New Roman"/>
          <w:color w:val="000000"/>
          <w:kern w:val="0"/>
          <w:sz w:val="24"/>
          <w:szCs w:val="24"/>
          <w:lang w:eastAsia="it-IT"/>
          <w14:ligatures w14:val="none"/>
        </w:rPr>
        <w:t>”, a sua volta profondamente modificato negli ultimi anni e che sembrerebbe superato ora dalla normativa sulla localizzazione delle opere pubbliche contenuta nell’art. 38 del D.lgs. 36/2023, nuovo Codice appalti.</w:t>
      </w:r>
    </w:p>
    <w:p w14:paraId="626E5253"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p>
    <w:p w14:paraId="3D5934E3"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Regime autorizzatorio delle residenze e degli alloggi universitari </w:t>
      </w:r>
      <w:r w:rsidRPr="001D7A5A">
        <w:rPr>
          <w:rFonts w:ascii="inherit" w:eastAsia="Times New Roman" w:hAnsi="inherit" w:cs="Times New Roman"/>
          <w:b/>
          <w:bCs/>
          <w:i/>
          <w:iCs/>
          <w:color w:val="000000"/>
          <w:kern w:val="0"/>
          <w:sz w:val="24"/>
          <w:szCs w:val="24"/>
          <w:u w:val="single"/>
          <w:bdr w:val="none" w:sz="0" w:space="0" w:color="auto" w:frame="1"/>
          <w:lang w:eastAsia="it-IT"/>
          <w14:ligatures w14:val="none"/>
        </w:rPr>
        <w:t>(art. 28)</w:t>
      </w:r>
    </w:p>
    <w:p w14:paraId="224EB02C"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La Legge di conversione interviene anche sul tema della realizzazione delle residenze universitarie, oggi di stretta attualità in quanto oggetto di una apposita linea di finanziamento nell’ambito del PNRR. In particolare, viene integrata la Legge 338/2000 con la previsione per cui l'</w:t>
      </w:r>
      <w:r w:rsidRPr="001D7A5A">
        <w:rPr>
          <w:rFonts w:ascii="inherit" w:eastAsia="Times New Roman" w:hAnsi="inherit" w:cs="Times New Roman"/>
          <w:b/>
          <w:bCs/>
          <w:color w:val="000000"/>
          <w:kern w:val="0"/>
          <w:sz w:val="24"/>
          <w:szCs w:val="24"/>
          <w:bdr w:val="none" w:sz="0" w:space="0" w:color="auto" w:frame="1"/>
          <w:lang w:eastAsia="it-IT"/>
          <w14:ligatures w14:val="none"/>
        </w:rPr>
        <w:t>esercizio delle strutture residenziali universitarie che beneficiano delle risorse del PNRR</w:t>
      </w:r>
      <w:r w:rsidRPr="001D7A5A">
        <w:rPr>
          <w:rFonts w:ascii="Work Sans" w:eastAsia="Times New Roman" w:hAnsi="Work Sans" w:cs="Times New Roman"/>
          <w:color w:val="000000"/>
          <w:kern w:val="0"/>
          <w:sz w:val="24"/>
          <w:szCs w:val="24"/>
          <w:lang w:eastAsia="it-IT"/>
          <w14:ligatures w14:val="none"/>
        </w:rPr>
        <w:t> è soggetto ad uno specifico regime autorizzatorio stabilito dalle Regioni.</w:t>
      </w:r>
    </w:p>
    <w:p w14:paraId="3FC95B4E"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Le </w:t>
      </w:r>
      <w:r w:rsidRPr="001D7A5A">
        <w:rPr>
          <w:rFonts w:ascii="inherit" w:eastAsia="Times New Roman" w:hAnsi="inherit" w:cs="Times New Roman"/>
          <w:b/>
          <w:bCs/>
          <w:color w:val="000000"/>
          <w:kern w:val="0"/>
          <w:sz w:val="24"/>
          <w:szCs w:val="24"/>
          <w:bdr w:val="none" w:sz="0" w:space="0" w:color="auto" w:frame="1"/>
          <w:lang w:eastAsia="it-IT"/>
          <w14:ligatures w14:val="none"/>
        </w:rPr>
        <w:t>normative regionali</w:t>
      </w:r>
      <w:r w:rsidRPr="001D7A5A">
        <w:rPr>
          <w:rFonts w:ascii="Work Sans" w:eastAsia="Times New Roman" w:hAnsi="Work Sans" w:cs="Times New Roman"/>
          <w:color w:val="000000"/>
          <w:kern w:val="0"/>
          <w:sz w:val="24"/>
          <w:szCs w:val="24"/>
          <w:lang w:eastAsia="it-IT"/>
          <w14:ligatures w14:val="none"/>
        </w:rPr>
        <w:t> - che dovranno essere approvate entro 60 giorni dalla data di entrata in vigore della legge di conversione (22 aprile 2023) e cioè </w:t>
      </w:r>
      <w:r w:rsidRPr="001D7A5A">
        <w:rPr>
          <w:rFonts w:ascii="inherit" w:eastAsia="Times New Roman" w:hAnsi="inherit" w:cs="Times New Roman"/>
          <w:b/>
          <w:bCs/>
          <w:color w:val="000000"/>
          <w:kern w:val="0"/>
          <w:sz w:val="24"/>
          <w:szCs w:val="24"/>
          <w:bdr w:val="none" w:sz="0" w:space="0" w:color="auto" w:frame="1"/>
          <w:lang w:eastAsia="it-IT"/>
          <w14:ligatures w14:val="none"/>
        </w:rPr>
        <w:t>entro il 21 giugno 2023 </w:t>
      </w:r>
      <w:r w:rsidRPr="001D7A5A">
        <w:rPr>
          <w:rFonts w:ascii="Work Sans" w:eastAsia="Times New Roman" w:hAnsi="Work Sans" w:cs="Times New Roman"/>
          <w:color w:val="000000"/>
          <w:kern w:val="0"/>
          <w:sz w:val="24"/>
          <w:szCs w:val="24"/>
          <w:lang w:eastAsia="it-IT"/>
          <w14:ligatures w14:val="none"/>
        </w:rPr>
        <w:t>- disciplinano le modalità operative per la classificazione delle strutture che devono rispettare gli standard minimi nazionali e il conseguente rilascio dell'autorizzazione all'esercizio.</w:t>
      </w:r>
    </w:p>
    <w:p w14:paraId="2AC09894"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Viene anche regolato il regime transitorio stabilendo che:</w:t>
      </w:r>
    </w:p>
    <w:p w14:paraId="39AA260E"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le discipline regionali in materia approvate precedentemente alla data di entrata in vigore della nuova disposizione statale, mantengono la loro efficacia fino all'emanazione delle disposizioni regionali;</w:t>
      </w:r>
    </w:p>
    <w:p w14:paraId="4F82BB14"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per quanto non espressamente previsto dal presente articolo, si fa rinvio alla normativa vigente in materia, in particolare per quanto concerne gli aspetti di natura fiscale; </w:t>
      </w:r>
    </w:p>
    <w:p w14:paraId="654FDFDB"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restano salvi ed impregiudicati, in ogni caso, gli interventi che alla data di entrata in vigore della presente disposizione risultano già assegnatari dei finanziamenti di cui alla presente legge e delle risorse a valere sul PNRR.</w:t>
      </w:r>
    </w:p>
    <w:p w14:paraId="444BBC7C" w14:textId="77777777" w:rsidR="001D7A5A" w:rsidRPr="001D7A5A" w:rsidRDefault="001D7A5A" w:rsidP="001D7A5A">
      <w:pPr>
        <w:shd w:val="clear" w:color="auto" w:fill="FFFFFF"/>
        <w:spacing w:after="18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p>
    <w:p w14:paraId="288AB86A" w14:textId="77777777" w:rsidR="001D7A5A" w:rsidRPr="001D7A5A" w:rsidRDefault="001D7A5A" w:rsidP="001D7A5A">
      <w:pPr>
        <w:shd w:val="clear" w:color="auto" w:fill="FFFFFF"/>
        <w:spacing w:after="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Semplificazioni in materia di beni culturali</w:t>
      </w:r>
      <w:r w:rsidRPr="001D7A5A">
        <w:rPr>
          <w:rFonts w:ascii="Work Sans" w:eastAsia="Times New Roman" w:hAnsi="Work Sans" w:cs="Times New Roman"/>
          <w:color w:val="000000"/>
          <w:kern w:val="0"/>
          <w:sz w:val="24"/>
          <w:szCs w:val="24"/>
          <w:u w:val="single"/>
          <w:bdr w:val="none" w:sz="0" w:space="0" w:color="auto" w:frame="1"/>
          <w:lang w:eastAsia="it-IT"/>
          <w14:ligatures w14:val="none"/>
        </w:rPr>
        <w:t> </w:t>
      </w:r>
      <w:r w:rsidRPr="001D7A5A">
        <w:rPr>
          <w:rFonts w:ascii="inherit" w:eastAsia="Times New Roman" w:hAnsi="inherit" w:cs="Times New Roman"/>
          <w:b/>
          <w:bCs/>
          <w:i/>
          <w:iCs/>
          <w:color w:val="000000"/>
          <w:kern w:val="0"/>
          <w:sz w:val="24"/>
          <w:szCs w:val="24"/>
          <w:u w:val="single"/>
          <w:bdr w:val="none" w:sz="0" w:space="0" w:color="auto" w:frame="1"/>
          <w:lang w:eastAsia="it-IT"/>
          <w14:ligatures w14:val="none"/>
        </w:rPr>
        <w:t>(art. 46)</w:t>
      </w:r>
    </w:p>
    <w:p w14:paraId="6CD18C67"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lastRenderedPageBreak/>
        <w:t>Confermate le semplificazioni procedurali per gli interventi da eseguirsi su </w:t>
      </w:r>
      <w:r w:rsidRPr="001D7A5A">
        <w:rPr>
          <w:rFonts w:ascii="inherit" w:eastAsia="Times New Roman" w:hAnsi="inherit" w:cs="Times New Roman"/>
          <w:b/>
          <w:bCs/>
          <w:color w:val="000000"/>
          <w:kern w:val="0"/>
          <w:sz w:val="24"/>
          <w:szCs w:val="24"/>
          <w:bdr w:val="none" w:sz="0" w:space="0" w:color="auto" w:frame="1"/>
          <w:lang w:eastAsia="it-IT"/>
          <w14:ligatures w14:val="none"/>
        </w:rPr>
        <w:t>immobili pubblici e con destinazione d’uso pubblico</w:t>
      </w:r>
      <w:r w:rsidRPr="001D7A5A">
        <w:rPr>
          <w:rFonts w:ascii="Work Sans" w:eastAsia="Times New Roman" w:hAnsi="Work Sans" w:cs="Times New Roman"/>
          <w:color w:val="000000"/>
          <w:kern w:val="0"/>
          <w:sz w:val="24"/>
          <w:szCs w:val="24"/>
          <w:lang w:eastAsia="it-IT"/>
          <w14:ligatures w14:val="none"/>
        </w:rPr>
        <w:t>, soggetti a </w:t>
      </w:r>
      <w:r w:rsidRPr="001D7A5A">
        <w:rPr>
          <w:rFonts w:ascii="inherit" w:eastAsia="Times New Roman" w:hAnsi="inherit" w:cs="Times New Roman"/>
          <w:b/>
          <w:bCs/>
          <w:color w:val="000000"/>
          <w:kern w:val="0"/>
          <w:sz w:val="24"/>
          <w:szCs w:val="24"/>
          <w:bdr w:val="none" w:sz="0" w:space="0" w:color="auto" w:frame="1"/>
          <w:lang w:eastAsia="it-IT"/>
          <w14:ligatures w14:val="none"/>
        </w:rPr>
        <w:t>vincolo culturale</w:t>
      </w:r>
      <w:r w:rsidRPr="001D7A5A">
        <w:rPr>
          <w:rFonts w:ascii="Work Sans" w:eastAsia="Times New Roman" w:hAnsi="Work Sans" w:cs="Times New Roman"/>
          <w:color w:val="000000"/>
          <w:kern w:val="0"/>
          <w:sz w:val="24"/>
          <w:szCs w:val="24"/>
          <w:lang w:eastAsia="it-IT"/>
          <w14:ligatures w14:val="none"/>
        </w:rPr>
        <w:t> (D.lgs. 42/2004 cd. “Codice dei beni culturali e del paesaggio”) e </w:t>
      </w:r>
      <w:r w:rsidRPr="001D7A5A">
        <w:rPr>
          <w:rFonts w:ascii="inherit" w:eastAsia="Times New Roman" w:hAnsi="inherit" w:cs="Times New Roman"/>
          <w:b/>
          <w:bCs/>
          <w:color w:val="000000"/>
          <w:kern w:val="0"/>
          <w:sz w:val="24"/>
          <w:szCs w:val="24"/>
          <w:bdr w:val="none" w:sz="0" w:space="0" w:color="auto" w:frame="1"/>
          <w:lang w:eastAsia="it-IT"/>
          <w14:ligatures w14:val="none"/>
        </w:rPr>
        <w:t>finanziati con le risorse previste dal PNRR e del PNC</w:t>
      </w:r>
      <w:r w:rsidRPr="001D7A5A">
        <w:rPr>
          <w:rFonts w:ascii="Work Sans" w:eastAsia="Times New Roman" w:hAnsi="Work Sans" w:cs="Times New Roman"/>
          <w:color w:val="000000"/>
          <w:kern w:val="0"/>
          <w:sz w:val="24"/>
          <w:szCs w:val="24"/>
          <w:lang w:eastAsia="it-IT"/>
          <w14:ligatures w14:val="none"/>
        </w:rPr>
        <w:t>.</w:t>
      </w:r>
    </w:p>
    <w:p w14:paraId="3E0439B6"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Si prevede in particolare che le opere di </w:t>
      </w:r>
      <w:r w:rsidRPr="001D7A5A">
        <w:rPr>
          <w:rFonts w:ascii="inherit" w:eastAsia="Times New Roman" w:hAnsi="inherit" w:cs="Times New Roman"/>
          <w:b/>
          <w:bCs/>
          <w:color w:val="000000"/>
          <w:kern w:val="0"/>
          <w:sz w:val="24"/>
          <w:szCs w:val="24"/>
          <w:bdr w:val="none" w:sz="0" w:space="0" w:color="auto" w:frame="1"/>
          <w:lang w:eastAsia="it-IT"/>
          <w14:ligatures w14:val="none"/>
        </w:rPr>
        <w:t>manutenzione ordinaria</w:t>
      </w:r>
      <w:r w:rsidRPr="001D7A5A">
        <w:rPr>
          <w:rFonts w:ascii="Work Sans" w:eastAsia="Times New Roman" w:hAnsi="Work Sans" w:cs="Times New Roman"/>
          <w:color w:val="000000"/>
          <w:kern w:val="0"/>
          <w:sz w:val="24"/>
          <w:szCs w:val="24"/>
          <w:lang w:eastAsia="it-IT"/>
          <w14:ligatures w14:val="none"/>
        </w:rPr>
        <w:t> che non comportino modifiche delle caratteristiche architettoniche, morfo-tipologiche, dei materiali o delle finiture esistenti, sono consentite non più previa autorizzazione della Soprintendenza, ma con la presentazione di una </w:t>
      </w:r>
      <w:r w:rsidRPr="001D7A5A">
        <w:rPr>
          <w:rFonts w:ascii="inherit" w:eastAsia="Times New Roman" w:hAnsi="inherit" w:cs="Times New Roman"/>
          <w:b/>
          <w:bCs/>
          <w:color w:val="000000"/>
          <w:kern w:val="0"/>
          <w:sz w:val="24"/>
          <w:szCs w:val="24"/>
          <w:bdr w:val="none" w:sz="0" w:space="0" w:color="auto" w:frame="1"/>
          <w:lang w:eastAsia="it-IT"/>
          <w14:ligatures w14:val="none"/>
        </w:rPr>
        <w:t>semplice segnalazione</w:t>
      </w:r>
      <w:r w:rsidRPr="001D7A5A">
        <w:rPr>
          <w:rFonts w:ascii="Work Sans" w:eastAsia="Times New Roman" w:hAnsi="Work Sans" w:cs="Times New Roman"/>
          <w:color w:val="000000"/>
          <w:kern w:val="0"/>
          <w:sz w:val="24"/>
          <w:szCs w:val="24"/>
          <w:lang w:eastAsia="it-IT"/>
          <w14:ligatures w14:val="none"/>
        </w:rPr>
        <w:t>.</w:t>
      </w:r>
    </w:p>
    <w:p w14:paraId="4326E358"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Si ricorda che, in base agli artt. 10 e 12 del D.lgs. 42/2004, tutti gli immobili pubblici (ad es. dello Stato, delle Regioni, dei Comuni e di ogni altro ente pubblico) sono soggetti in via cautelativa a tutela (</w:t>
      </w:r>
      <w:r w:rsidRPr="001D7A5A">
        <w:rPr>
          <w:rFonts w:ascii="inherit" w:eastAsia="Times New Roman" w:hAnsi="inherit" w:cs="Times New Roman"/>
          <w:i/>
          <w:iCs/>
          <w:color w:val="000000"/>
          <w:kern w:val="0"/>
          <w:sz w:val="24"/>
          <w:szCs w:val="24"/>
          <w:bdr w:val="none" w:sz="0" w:space="0" w:color="auto" w:frame="1"/>
          <w:lang w:eastAsia="it-IT"/>
          <w14:ligatures w14:val="none"/>
        </w:rPr>
        <w:t>e quindi ad autorizzazione della Soprintendenza nel caso debbano essere effettuati lavori edili</w:t>
      </w:r>
      <w:r w:rsidRPr="001D7A5A">
        <w:rPr>
          <w:rFonts w:ascii="Work Sans" w:eastAsia="Times New Roman" w:hAnsi="Work Sans" w:cs="Times New Roman"/>
          <w:color w:val="000000"/>
          <w:kern w:val="0"/>
          <w:sz w:val="24"/>
          <w:szCs w:val="24"/>
          <w:lang w:eastAsia="it-IT"/>
          <w14:ligatures w14:val="none"/>
        </w:rPr>
        <w:t>) al ricorrere delle seguenti condizioni:</w:t>
      </w:r>
    </w:p>
    <w:p w14:paraId="45EC73D8" w14:textId="77777777" w:rsidR="001D7A5A" w:rsidRPr="001D7A5A" w:rsidRDefault="001D7A5A" w:rsidP="001D7A5A">
      <w:pPr>
        <w:numPr>
          <w:ilvl w:val="0"/>
          <w:numId w:val="1"/>
        </w:numPr>
        <w:shd w:val="clear" w:color="auto" w:fill="FFFFFF"/>
        <w:spacing w:after="0" w:line="468" w:lineRule="atLeast"/>
        <w:ind w:left="1020"/>
        <w:textAlignment w:val="baseline"/>
        <w:rPr>
          <w:rFonts w:ascii="Work Sans" w:eastAsia="Times New Roman" w:hAnsi="Work Sans" w:cs="Times New Roman"/>
          <w:color w:val="000000"/>
          <w:kern w:val="0"/>
          <w:sz w:val="31"/>
          <w:szCs w:val="31"/>
          <w:lang w:eastAsia="it-IT"/>
          <w14:ligatures w14:val="none"/>
        </w:rPr>
      </w:pPr>
      <w:r w:rsidRPr="001D7A5A">
        <w:rPr>
          <w:rFonts w:ascii="Work Sans" w:eastAsia="Times New Roman" w:hAnsi="Work Sans" w:cs="Times New Roman"/>
          <w:color w:val="000000"/>
          <w:kern w:val="0"/>
          <w:sz w:val="31"/>
          <w:szCs w:val="31"/>
          <w:lang w:eastAsia="it-IT"/>
          <w14:ligatures w14:val="none"/>
        </w:rPr>
        <w:t>siano opera di autore non più vivente;</w:t>
      </w:r>
    </w:p>
    <w:p w14:paraId="1B250D3F" w14:textId="77777777" w:rsidR="001D7A5A" w:rsidRPr="001D7A5A" w:rsidRDefault="001D7A5A" w:rsidP="001D7A5A">
      <w:pPr>
        <w:numPr>
          <w:ilvl w:val="0"/>
          <w:numId w:val="1"/>
        </w:numPr>
        <w:shd w:val="clear" w:color="auto" w:fill="FFFFFF"/>
        <w:spacing w:after="0" w:line="468" w:lineRule="atLeast"/>
        <w:ind w:left="1020"/>
        <w:textAlignment w:val="baseline"/>
        <w:rPr>
          <w:rFonts w:ascii="Work Sans" w:eastAsia="Times New Roman" w:hAnsi="Work Sans" w:cs="Times New Roman"/>
          <w:color w:val="000000"/>
          <w:kern w:val="0"/>
          <w:sz w:val="31"/>
          <w:szCs w:val="31"/>
          <w:lang w:eastAsia="it-IT"/>
          <w14:ligatures w14:val="none"/>
        </w:rPr>
      </w:pPr>
      <w:r w:rsidRPr="001D7A5A">
        <w:rPr>
          <w:rFonts w:ascii="Work Sans" w:eastAsia="Times New Roman" w:hAnsi="Work Sans" w:cs="Times New Roman"/>
          <w:color w:val="000000"/>
          <w:kern w:val="0"/>
          <w:sz w:val="31"/>
          <w:szCs w:val="31"/>
          <w:lang w:eastAsia="it-IT"/>
          <w14:ligatures w14:val="none"/>
        </w:rPr>
        <w:t>la loro esecuzione risalga ad oltre settanta anni.</w:t>
      </w:r>
    </w:p>
    <w:p w14:paraId="7779F350"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Questa presunzione di “valore culturale” dell’immobile pubblico, operata dal D.lgs. 42/2004 può venire meno a seguito di apposita verifica da parte degli organi del Ministero della cultura (</w:t>
      </w:r>
      <w:r w:rsidRPr="001D7A5A">
        <w:rPr>
          <w:rFonts w:ascii="inherit" w:eastAsia="Times New Roman" w:hAnsi="inherit" w:cs="Times New Roman"/>
          <w:i/>
          <w:iCs/>
          <w:color w:val="000000"/>
          <w:kern w:val="0"/>
          <w:sz w:val="24"/>
          <w:szCs w:val="24"/>
          <w:bdr w:val="none" w:sz="0" w:space="0" w:color="auto" w:frame="1"/>
          <w:lang w:eastAsia="it-IT"/>
          <w14:ligatures w14:val="none"/>
        </w:rPr>
        <w:t>ossia la Commissione regionale per il patrimonio culturale competente a livello territoriale, previa istruttoria della Soprintendenza come previsto dal Dpcm 169/2019 di organizzazione del Ministero</w:t>
      </w:r>
      <w:r w:rsidRPr="001D7A5A">
        <w:rPr>
          <w:rFonts w:ascii="Work Sans" w:eastAsia="Times New Roman" w:hAnsi="Work Sans" w:cs="Times New Roman"/>
          <w:color w:val="000000"/>
          <w:kern w:val="0"/>
          <w:sz w:val="24"/>
          <w:szCs w:val="24"/>
          <w:lang w:eastAsia="it-IT"/>
          <w14:ligatures w14:val="none"/>
        </w:rPr>
        <w:t>), da attivarsi su richiesta dell’amministrazione titolare dell’immobile o d’ufficio dallo stesso Ministero.</w:t>
      </w:r>
    </w:p>
    <w:p w14:paraId="1C784491"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Peraltro, il Decreto-legge 13/2023 è intervenuto a semplificare il procedimento di verifica dell’interesse culturale degli immobili pubblici, da un lato riducendone la durata da 120 a 90 gg. e, dall’altro, introducendo, in caso di inerzia della Soprintendenza, un potere sostitutivo in capo al Direttore generale competente per materia del Ministero della cultura, che provvede entro i successivi 30 giorni. La Legge di conversione ha poi ulteriormente precisato che il mancato rispetto dei termini del procedimento è valutabile ai fini della responsabilità disciplinare e dirigenziale (art.2, comma 9 della Legge 241/1990).</w:t>
      </w:r>
    </w:p>
    <w:p w14:paraId="4CEB35EF" w14:textId="77777777" w:rsidR="001D7A5A" w:rsidRPr="001D7A5A" w:rsidRDefault="001D7A5A" w:rsidP="001D7A5A">
      <w:pPr>
        <w:shd w:val="clear" w:color="auto" w:fill="FFFFFF"/>
        <w:spacing w:after="18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p>
    <w:p w14:paraId="7680E1B2" w14:textId="77777777" w:rsidR="001D7A5A" w:rsidRPr="001D7A5A" w:rsidRDefault="001D7A5A" w:rsidP="001D7A5A">
      <w:pPr>
        <w:shd w:val="clear" w:color="auto" w:fill="FFFFFF"/>
        <w:spacing w:after="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Semplificazioni per impianti fotovoltaici</w:t>
      </w:r>
    </w:p>
    <w:p w14:paraId="495F5BA1" w14:textId="77777777" w:rsidR="001D7A5A" w:rsidRPr="001D7A5A" w:rsidRDefault="001D7A5A" w:rsidP="001D7A5A">
      <w:pPr>
        <w:numPr>
          <w:ilvl w:val="0"/>
          <w:numId w:val="2"/>
        </w:numPr>
        <w:shd w:val="clear" w:color="auto" w:fill="FFFFFF"/>
        <w:spacing w:after="0" w:line="468" w:lineRule="atLeast"/>
        <w:ind w:left="1020"/>
        <w:textAlignment w:val="baseline"/>
        <w:rPr>
          <w:rFonts w:ascii="Work Sans" w:eastAsia="Times New Roman" w:hAnsi="Work Sans" w:cs="Times New Roman"/>
          <w:color w:val="000000"/>
          <w:kern w:val="0"/>
          <w:sz w:val="31"/>
          <w:szCs w:val="31"/>
          <w:lang w:eastAsia="it-IT"/>
          <w14:ligatures w14:val="none"/>
        </w:rPr>
      </w:pPr>
      <w:r w:rsidRPr="001D7A5A">
        <w:rPr>
          <w:rFonts w:ascii="inherit" w:eastAsia="Times New Roman" w:hAnsi="inherit" w:cs="Times New Roman"/>
          <w:b/>
          <w:bCs/>
          <w:color w:val="000000"/>
          <w:kern w:val="0"/>
          <w:sz w:val="31"/>
          <w:szCs w:val="31"/>
          <w:bdr w:val="none" w:sz="0" w:space="0" w:color="auto" w:frame="1"/>
          <w:lang w:eastAsia="it-IT"/>
          <w14:ligatures w14:val="none"/>
        </w:rPr>
        <w:t>Impianti a terra in zone industriali, artigianali, commerciali, discariche e cave </w:t>
      </w:r>
      <w:r w:rsidRPr="001D7A5A">
        <w:rPr>
          <w:rFonts w:ascii="inherit" w:eastAsia="Times New Roman" w:hAnsi="inherit" w:cs="Times New Roman"/>
          <w:b/>
          <w:bCs/>
          <w:i/>
          <w:iCs/>
          <w:color w:val="000000"/>
          <w:kern w:val="0"/>
          <w:sz w:val="31"/>
          <w:szCs w:val="31"/>
          <w:bdr w:val="none" w:sz="0" w:space="0" w:color="auto" w:frame="1"/>
          <w:lang w:eastAsia="it-IT"/>
          <w14:ligatures w14:val="none"/>
        </w:rPr>
        <w:t>(art. 47, comma 1, lett. b)</w:t>
      </w:r>
    </w:p>
    <w:p w14:paraId="6A4B13F7"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Confermata la norma che, integrando il D.lgs. 199/2021 con l’art. 22-bis, considera attività di manutenzione ordinaria, non subordinata all'acquisizione di permessi, autorizzazioni o atti di assenso comunque denominati (</w:t>
      </w:r>
      <w:r w:rsidRPr="001D7A5A">
        <w:rPr>
          <w:rFonts w:ascii="inherit" w:eastAsia="Times New Roman" w:hAnsi="inherit" w:cs="Times New Roman"/>
          <w:i/>
          <w:iCs/>
          <w:color w:val="000000"/>
          <w:kern w:val="0"/>
          <w:sz w:val="24"/>
          <w:szCs w:val="24"/>
          <w:bdr w:val="none" w:sz="0" w:space="0" w:color="auto" w:frame="1"/>
          <w:lang w:eastAsia="it-IT"/>
          <w14:ligatures w14:val="none"/>
        </w:rPr>
        <w:t>ad eccezione della valutazione di impatto ambientale che deve essere effettuata se prevista dalla legge</w:t>
      </w:r>
      <w:r w:rsidRPr="001D7A5A">
        <w:rPr>
          <w:rFonts w:ascii="Work Sans" w:eastAsia="Times New Roman" w:hAnsi="Work Sans" w:cs="Times New Roman"/>
          <w:color w:val="000000"/>
          <w:kern w:val="0"/>
          <w:sz w:val="24"/>
          <w:szCs w:val="24"/>
          <w:lang w:eastAsia="it-IT"/>
          <w14:ligatures w14:val="none"/>
        </w:rPr>
        <w:t>) l'installazione, effettuata con qualunque modalità, di </w:t>
      </w:r>
      <w:r w:rsidRPr="001D7A5A">
        <w:rPr>
          <w:rFonts w:ascii="inherit" w:eastAsia="Times New Roman" w:hAnsi="inherit" w:cs="Times New Roman"/>
          <w:b/>
          <w:bCs/>
          <w:color w:val="000000"/>
          <w:kern w:val="0"/>
          <w:sz w:val="24"/>
          <w:szCs w:val="24"/>
          <w:bdr w:val="none" w:sz="0" w:space="0" w:color="auto" w:frame="1"/>
          <w:lang w:eastAsia="it-IT"/>
          <w14:ligatures w14:val="none"/>
        </w:rPr>
        <w:t>impianti fotovoltaici a terra</w:t>
      </w:r>
      <w:r w:rsidRPr="001D7A5A">
        <w:rPr>
          <w:rFonts w:ascii="Work Sans" w:eastAsia="Times New Roman" w:hAnsi="Work Sans" w:cs="Times New Roman"/>
          <w:color w:val="000000"/>
          <w:kern w:val="0"/>
          <w:sz w:val="24"/>
          <w:szCs w:val="24"/>
          <w:lang w:eastAsia="it-IT"/>
          <w14:ligatures w14:val="none"/>
        </w:rPr>
        <w:t xml:space="preserve"> e delle relative </w:t>
      </w:r>
      <w:r w:rsidRPr="001D7A5A">
        <w:rPr>
          <w:rFonts w:ascii="Work Sans" w:eastAsia="Times New Roman" w:hAnsi="Work Sans" w:cs="Times New Roman"/>
          <w:color w:val="000000"/>
          <w:kern w:val="0"/>
          <w:sz w:val="24"/>
          <w:szCs w:val="24"/>
          <w:lang w:eastAsia="it-IT"/>
          <w14:ligatures w14:val="none"/>
        </w:rPr>
        <w:lastRenderedPageBreak/>
        <w:t>opere connesse e infrastrutture necessarie, ubicati nelle zone e nelle </w:t>
      </w:r>
      <w:r w:rsidRPr="001D7A5A">
        <w:rPr>
          <w:rFonts w:ascii="inherit" w:eastAsia="Times New Roman" w:hAnsi="inherit" w:cs="Times New Roman"/>
          <w:b/>
          <w:bCs/>
          <w:color w:val="000000"/>
          <w:kern w:val="0"/>
          <w:sz w:val="24"/>
          <w:szCs w:val="24"/>
          <w:bdr w:val="none" w:sz="0" w:space="0" w:color="auto" w:frame="1"/>
          <w:lang w:eastAsia="it-IT"/>
          <w14:ligatures w14:val="none"/>
        </w:rPr>
        <w:t>aree a destinazione industriale, artigianale e commerciale,</w:t>
      </w:r>
      <w:r w:rsidRPr="001D7A5A">
        <w:rPr>
          <w:rFonts w:ascii="Work Sans" w:eastAsia="Times New Roman" w:hAnsi="Work Sans" w:cs="Times New Roman"/>
          <w:color w:val="000000"/>
          <w:kern w:val="0"/>
          <w:sz w:val="24"/>
          <w:szCs w:val="24"/>
          <w:lang w:eastAsia="it-IT"/>
          <w14:ligatures w14:val="none"/>
        </w:rPr>
        <w:t> nonché in discariche o lotti di discarica chiusi e ripristinati ovvero in cave o lotti o porzioni di cave non suscettibili di ulteriore sfruttamento.</w:t>
      </w:r>
    </w:p>
    <w:p w14:paraId="5D49DAD2"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Se l'intervento è effettuato in</w:t>
      </w:r>
      <w:r w:rsidRPr="001D7A5A">
        <w:rPr>
          <w:rFonts w:ascii="inherit" w:eastAsia="Times New Roman" w:hAnsi="inherit" w:cs="Times New Roman"/>
          <w:b/>
          <w:bCs/>
          <w:color w:val="000000"/>
          <w:kern w:val="0"/>
          <w:sz w:val="24"/>
          <w:szCs w:val="24"/>
          <w:bdr w:val="none" w:sz="0" w:space="0" w:color="auto" w:frame="1"/>
          <w:lang w:eastAsia="it-IT"/>
          <w14:ligatures w14:val="none"/>
        </w:rPr>
        <w:t> zona sottoposta a vincolo paesaggistico </w:t>
      </w:r>
      <w:r w:rsidRPr="001D7A5A">
        <w:rPr>
          <w:rFonts w:ascii="inherit" w:eastAsia="Times New Roman" w:hAnsi="inherit" w:cs="Times New Roman"/>
          <w:i/>
          <w:iCs/>
          <w:color w:val="000000"/>
          <w:kern w:val="0"/>
          <w:sz w:val="24"/>
          <w:szCs w:val="24"/>
          <w:bdr w:val="none" w:sz="0" w:space="0" w:color="auto" w:frame="1"/>
          <w:lang w:eastAsia="it-IT"/>
          <w14:ligatures w14:val="none"/>
        </w:rPr>
        <w:t>(e quindi a qualsiasi tipo di vincolo di cui alla Parte Terza del D.lgs. 42/2004, sia quelli imposti per legge dall’art. 142, sia quelli imposti per decreto ai sensi dell’art. 136, sia quelli previsti dai piani paesaggistici come regolati dagli artt. 134, lett. c)</w:t>
      </w:r>
      <w:r w:rsidRPr="001D7A5A">
        <w:rPr>
          <w:rFonts w:ascii="Work Sans" w:eastAsia="Times New Roman" w:hAnsi="Work Sans" w:cs="Times New Roman"/>
          <w:color w:val="000000"/>
          <w:kern w:val="0"/>
          <w:sz w:val="24"/>
          <w:szCs w:val="24"/>
          <w:lang w:eastAsia="it-IT"/>
          <w14:ligatures w14:val="none"/>
        </w:rPr>
        <w:t>, il relativo progetto è previamente </w:t>
      </w:r>
      <w:r w:rsidRPr="001D7A5A">
        <w:rPr>
          <w:rFonts w:ascii="inherit" w:eastAsia="Times New Roman" w:hAnsi="inherit" w:cs="Times New Roman"/>
          <w:b/>
          <w:bCs/>
          <w:color w:val="000000"/>
          <w:kern w:val="0"/>
          <w:sz w:val="24"/>
          <w:szCs w:val="24"/>
          <w:bdr w:val="none" w:sz="0" w:space="0" w:color="auto" w:frame="1"/>
          <w:lang w:eastAsia="it-IT"/>
          <w14:ligatures w14:val="none"/>
        </w:rPr>
        <w:t>comunicato alla soprintendenza</w:t>
      </w:r>
      <w:r w:rsidRPr="001D7A5A">
        <w:rPr>
          <w:rFonts w:ascii="Work Sans" w:eastAsia="Times New Roman" w:hAnsi="Work Sans" w:cs="Times New Roman"/>
          <w:color w:val="000000"/>
          <w:kern w:val="0"/>
          <w:sz w:val="24"/>
          <w:szCs w:val="24"/>
          <w:lang w:eastAsia="it-IT"/>
          <w14:ligatures w14:val="none"/>
        </w:rPr>
        <w:t> competente (e non ad autorizzazione paesaggistica) che, accertata la carenza dei requisiti di compatibilità, adotta, nel termine di 30 giorni dal ricevimento della comunicazione, un provvedimento motivato di diniego alla installazione degli impianti.</w:t>
      </w:r>
    </w:p>
    <w:p w14:paraId="755CA04C"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Si tratta di una misura positiva che, tuttavia, si colloca in un apparato normativo, quello che riguarda appunto le procedure amministrative per gli impianti da fonti rinnovabili, piuttosto articolato e complesso all’interno del quale non risulta nella pratica agevole per gli operatori individuare la disciplina corretta applicabile al caso specifico. Tutte le recenti disposizioni di semplificazione sono, infatti, andate a sovrapporsi ad una disciplina previgente che, non essendo stata abrogata, crea ulteriori contrasti interpetrativi anche da parte delle stesse pubbliche amministrazioni.  È quindi auspicabile che venga presto attuata la delega legislativa al riordino dell’intera materia contenuta nell’art. 26, comma 4 della Legge 118/2022 (cd. “Legge sulla concorrenza”).</w:t>
      </w:r>
    </w:p>
    <w:p w14:paraId="7D7E8708" w14:textId="77777777" w:rsidR="001D7A5A" w:rsidRPr="001D7A5A" w:rsidRDefault="001D7A5A" w:rsidP="001D7A5A">
      <w:pPr>
        <w:numPr>
          <w:ilvl w:val="0"/>
          <w:numId w:val="3"/>
        </w:numPr>
        <w:shd w:val="clear" w:color="auto" w:fill="FFFFFF"/>
        <w:spacing w:after="0" w:line="468" w:lineRule="atLeast"/>
        <w:ind w:left="1020"/>
        <w:textAlignment w:val="baseline"/>
        <w:rPr>
          <w:rFonts w:ascii="Work Sans" w:eastAsia="Times New Roman" w:hAnsi="Work Sans" w:cs="Times New Roman"/>
          <w:color w:val="000000"/>
          <w:kern w:val="0"/>
          <w:sz w:val="31"/>
          <w:szCs w:val="31"/>
          <w:lang w:eastAsia="it-IT"/>
          <w14:ligatures w14:val="none"/>
        </w:rPr>
      </w:pPr>
      <w:r w:rsidRPr="001D7A5A">
        <w:rPr>
          <w:rFonts w:ascii="inherit" w:eastAsia="Times New Roman" w:hAnsi="inherit" w:cs="Times New Roman"/>
          <w:b/>
          <w:bCs/>
          <w:color w:val="000000"/>
          <w:kern w:val="0"/>
          <w:sz w:val="31"/>
          <w:szCs w:val="31"/>
          <w:bdr w:val="none" w:sz="0" w:space="0" w:color="auto" w:frame="1"/>
          <w:lang w:eastAsia="it-IT"/>
          <w14:ligatures w14:val="none"/>
        </w:rPr>
        <w:t>Installazione impianti fotovoltaici su edifici e rilascio autorizzazione paesaggistica </w:t>
      </w:r>
      <w:r w:rsidRPr="001D7A5A">
        <w:rPr>
          <w:rFonts w:ascii="inherit" w:eastAsia="Times New Roman" w:hAnsi="inherit" w:cs="Times New Roman"/>
          <w:b/>
          <w:bCs/>
          <w:i/>
          <w:iCs/>
          <w:color w:val="000000"/>
          <w:kern w:val="0"/>
          <w:sz w:val="31"/>
          <w:szCs w:val="31"/>
          <w:bdr w:val="none" w:sz="0" w:space="0" w:color="auto" w:frame="1"/>
          <w:lang w:eastAsia="it-IT"/>
          <w14:ligatures w14:val="none"/>
        </w:rPr>
        <w:t>(art. 47, comma 6)</w:t>
      </w:r>
    </w:p>
    <w:p w14:paraId="7A0F2ED2" w14:textId="77777777" w:rsidR="001D7A5A" w:rsidRPr="001D7A5A" w:rsidRDefault="001D7A5A" w:rsidP="001D7A5A">
      <w:pPr>
        <w:shd w:val="clear" w:color="auto" w:fill="FFFFFF"/>
        <w:spacing w:after="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bdr w:val="none" w:sz="0" w:space="0" w:color="auto" w:frame="1"/>
          <w:lang w:eastAsia="it-IT"/>
          <w14:ligatures w14:val="none"/>
        </w:rPr>
        <w:t>Confermate anche le importanti semplificazioni finalizzate a ridurre il termine di rilascio dell’autorizzazione paesaggistica </w:t>
      </w:r>
      <w:r w:rsidRPr="001D7A5A">
        <w:rPr>
          <w:rFonts w:ascii="Work Sans" w:eastAsia="Times New Roman" w:hAnsi="Work Sans" w:cs="Times New Roman"/>
          <w:color w:val="000000"/>
          <w:kern w:val="0"/>
          <w:sz w:val="24"/>
          <w:szCs w:val="24"/>
          <w:lang w:eastAsia="it-IT"/>
          <w14:ligatures w14:val="none"/>
        </w:rPr>
        <w:t>nei casi in cui la stessa è necessaria e si rafforza la chiusura del procedimento disponendo che, in caso di inerzia della soprintendenza, l’autorizzazione si intende rilasciata.</w:t>
      </w:r>
    </w:p>
    <w:p w14:paraId="3384244D"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In particolare viene </w:t>
      </w:r>
      <w:r w:rsidRPr="001D7A5A">
        <w:rPr>
          <w:rFonts w:ascii="inherit" w:eastAsia="Times New Roman" w:hAnsi="inherit" w:cs="Times New Roman"/>
          <w:b/>
          <w:bCs/>
          <w:color w:val="000000"/>
          <w:kern w:val="0"/>
          <w:sz w:val="24"/>
          <w:szCs w:val="24"/>
          <w:bdr w:val="none" w:sz="0" w:space="0" w:color="auto" w:frame="1"/>
          <w:lang w:eastAsia="it-IT"/>
          <w14:ligatures w14:val="none"/>
        </w:rPr>
        <w:t>integrata la norma di riferimento</w:t>
      </w:r>
      <w:r w:rsidRPr="001D7A5A">
        <w:rPr>
          <w:rFonts w:ascii="Work Sans" w:eastAsia="Times New Roman" w:hAnsi="Work Sans" w:cs="Times New Roman"/>
          <w:color w:val="000000"/>
          <w:kern w:val="0"/>
          <w:sz w:val="24"/>
          <w:szCs w:val="24"/>
          <w:lang w:eastAsia="it-IT"/>
          <w14:ligatures w14:val="none"/>
        </w:rPr>
        <w:t> in tema di installazione di impianti solari sugli edifici e cioè l’</w:t>
      </w:r>
      <w:r w:rsidRPr="001D7A5A">
        <w:rPr>
          <w:rFonts w:ascii="inherit" w:eastAsia="Times New Roman" w:hAnsi="inherit" w:cs="Times New Roman"/>
          <w:b/>
          <w:bCs/>
          <w:color w:val="000000"/>
          <w:kern w:val="0"/>
          <w:sz w:val="24"/>
          <w:szCs w:val="24"/>
          <w:bdr w:val="none" w:sz="0" w:space="0" w:color="auto" w:frame="1"/>
          <w:lang w:eastAsia="it-IT"/>
          <w14:ligatures w14:val="none"/>
        </w:rPr>
        <w:t>art. 7-bis, comma 5 del D.lgs. 28/2011</w:t>
      </w:r>
      <w:r w:rsidRPr="001D7A5A">
        <w:rPr>
          <w:rFonts w:ascii="Work Sans" w:eastAsia="Times New Roman" w:hAnsi="Work Sans" w:cs="Times New Roman"/>
          <w:color w:val="000000"/>
          <w:kern w:val="0"/>
          <w:sz w:val="24"/>
          <w:szCs w:val="24"/>
          <w:lang w:eastAsia="it-IT"/>
          <w14:ligatures w14:val="none"/>
        </w:rPr>
        <w:t> </w:t>
      </w:r>
      <w:r w:rsidRPr="001D7A5A">
        <w:rPr>
          <w:rFonts w:ascii="inherit" w:eastAsia="Times New Roman" w:hAnsi="inherit" w:cs="Times New Roman"/>
          <w:b/>
          <w:bCs/>
          <w:color w:val="000000"/>
          <w:kern w:val="0"/>
          <w:sz w:val="24"/>
          <w:szCs w:val="24"/>
          <w:bdr w:val="none" w:sz="0" w:space="0" w:color="auto" w:frame="1"/>
          <w:lang w:eastAsia="it-IT"/>
          <w14:ligatures w14:val="none"/>
        </w:rPr>
        <w:t>come sostituito dal DL 17/2022,</w:t>
      </w:r>
      <w:r w:rsidRPr="001D7A5A">
        <w:rPr>
          <w:rFonts w:ascii="Work Sans" w:eastAsia="Times New Roman" w:hAnsi="Work Sans" w:cs="Times New Roman"/>
          <w:color w:val="000000"/>
          <w:kern w:val="0"/>
          <w:sz w:val="24"/>
          <w:szCs w:val="24"/>
          <w:lang w:eastAsia="it-IT"/>
          <w14:ligatures w14:val="none"/>
        </w:rPr>
        <w:t> che ha liberalizzato questi interventi, in quanto opere di manutenzione ordinaria, ad esclusione dei casi in cui l’installazione avviene su immobili vincolati o ricompresi in aree vincolate ai sensi dell’art. 136, comma 1, lett. b) e c) del D.lgs. 42/2004 che necessitano comunque di autorizzazione paesaggistica </w:t>
      </w:r>
      <w:r w:rsidRPr="001D7A5A">
        <w:rPr>
          <w:rFonts w:ascii="inherit" w:eastAsia="Times New Roman" w:hAnsi="inherit" w:cs="Times New Roman"/>
          <w:i/>
          <w:iCs/>
          <w:color w:val="000000"/>
          <w:kern w:val="0"/>
          <w:sz w:val="24"/>
          <w:szCs w:val="24"/>
          <w:bdr w:val="none" w:sz="0" w:space="0" w:color="auto" w:frame="1"/>
          <w:lang w:eastAsia="it-IT"/>
          <w14:ligatures w14:val="none"/>
        </w:rPr>
        <w:t xml:space="preserve">(salve le installazioni su immobili ubicati nelle aree vincolate ai sensi dell’art. 136, comma 1, lett. c) che sono comunque libere se i pannelli sono integrati nelle coperture e non sono visibili dagli spazi pubblici esterni e dai punti di vista panoramici, ad eccezione delle </w:t>
      </w:r>
      <w:r w:rsidRPr="001D7A5A">
        <w:rPr>
          <w:rFonts w:ascii="inherit" w:eastAsia="Times New Roman" w:hAnsi="inherit" w:cs="Times New Roman"/>
          <w:i/>
          <w:iCs/>
          <w:color w:val="000000"/>
          <w:kern w:val="0"/>
          <w:sz w:val="24"/>
          <w:szCs w:val="24"/>
          <w:bdr w:val="none" w:sz="0" w:space="0" w:color="auto" w:frame="1"/>
          <w:lang w:eastAsia="it-IT"/>
          <w14:ligatures w14:val="none"/>
        </w:rPr>
        <w:lastRenderedPageBreak/>
        <w:t>coperture i cui manti siano realizzati in materiali della tradizione locale</w:t>
      </w:r>
      <w:r w:rsidRPr="001D7A5A">
        <w:rPr>
          <w:rFonts w:ascii="Work Sans" w:eastAsia="Times New Roman" w:hAnsi="Work Sans" w:cs="Times New Roman"/>
          <w:color w:val="000000"/>
          <w:kern w:val="0"/>
          <w:sz w:val="24"/>
          <w:szCs w:val="24"/>
          <w:lang w:eastAsia="it-IT"/>
          <w14:ligatures w14:val="none"/>
        </w:rPr>
        <w:t>). In questi casi il Decreto-legge 13/2023 prevede che:</w:t>
      </w:r>
    </w:p>
    <w:p w14:paraId="6F717B1B" w14:textId="77777777" w:rsidR="001D7A5A" w:rsidRPr="001D7A5A" w:rsidRDefault="001D7A5A" w:rsidP="001D7A5A">
      <w:pPr>
        <w:shd w:val="clear" w:color="auto" w:fill="FFFFFF"/>
        <w:spacing w:after="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il rilascio dell’autorizzazione paesaggistica deve avvenire </w:t>
      </w:r>
      <w:r w:rsidRPr="001D7A5A">
        <w:rPr>
          <w:rFonts w:ascii="inherit" w:eastAsia="Times New Roman" w:hAnsi="inherit" w:cs="Times New Roman"/>
          <w:b/>
          <w:bCs/>
          <w:color w:val="000000"/>
          <w:kern w:val="0"/>
          <w:sz w:val="24"/>
          <w:szCs w:val="24"/>
          <w:bdr w:val="none" w:sz="0" w:space="0" w:color="auto" w:frame="1"/>
          <w:lang w:eastAsia="it-IT"/>
          <w14:ligatures w14:val="none"/>
        </w:rPr>
        <w:t>entro 45 gg (anziché 60</w:t>
      </w:r>
      <w:r w:rsidRPr="001D7A5A">
        <w:rPr>
          <w:rFonts w:ascii="Work Sans" w:eastAsia="Times New Roman" w:hAnsi="Work Sans" w:cs="Times New Roman"/>
          <w:color w:val="000000"/>
          <w:kern w:val="0"/>
          <w:sz w:val="24"/>
          <w:szCs w:val="24"/>
          <w:lang w:eastAsia="it-IT"/>
          <w14:ligatures w14:val="none"/>
        </w:rPr>
        <w:t>);</w:t>
      </w:r>
    </w:p>
    <w:p w14:paraId="6F8CB28B" w14:textId="77777777" w:rsidR="001D7A5A" w:rsidRPr="001D7A5A" w:rsidRDefault="001D7A5A" w:rsidP="001D7A5A">
      <w:pPr>
        <w:shd w:val="clear" w:color="auto" w:fill="FFFFFF"/>
        <w:spacing w:after="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decorso tale termine, senza che siano comunicati all’interessato i motivi che ostano all’accoglimento della domanda, l’</w:t>
      </w:r>
      <w:r w:rsidRPr="001D7A5A">
        <w:rPr>
          <w:rFonts w:ascii="inherit" w:eastAsia="Times New Roman" w:hAnsi="inherit" w:cs="Times New Roman"/>
          <w:b/>
          <w:bCs/>
          <w:color w:val="000000"/>
          <w:kern w:val="0"/>
          <w:sz w:val="24"/>
          <w:szCs w:val="24"/>
          <w:bdr w:val="none" w:sz="0" w:space="0" w:color="auto" w:frame="1"/>
          <w:lang w:eastAsia="it-IT"/>
          <w14:ligatures w14:val="none"/>
        </w:rPr>
        <w:t>autorizzazione si intende rilasciata </w:t>
      </w:r>
      <w:r w:rsidRPr="001D7A5A">
        <w:rPr>
          <w:rFonts w:ascii="Work Sans" w:eastAsia="Times New Roman" w:hAnsi="Work Sans" w:cs="Times New Roman"/>
          <w:color w:val="000000"/>
          <w:kern w:val="0"/>
          <w:sz w:val="24"/>
          <w:szCs w:val="24"/>
          <w:lang w:eastAsia="it-IT"/>
          <w14:ligatures w14:val="none"/>
        </w:rPr>
        <w:t>ed è immediatamente efficace;</w:t>
      </w:r>
    </w:p>
    <w:p w14:paraId="03AA6288" w14:textId="77777777" w:rsidR="001D7A5A" w:rsidRPr="001D7A5A" w:rsidRDefault="001D7A5A" w:rsidP="001D7A5A">
      <w:pPr>
        <w:shd w:val="clear" w:color="auto" w:fill="FFFFFF"/>
        <w:spacing w:after="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durante l’istruttoria, il termine può essere sospeso una sola volta e per un massimo di 30 gg, qualora la </w:t>
      </w:r>
      <w:r w:rsidRPr="001D7A5A">
        <w:rPr>
          <w:rFonts w:ascii="inherit" w:eastAsia="Times New Roman" w:hAnsi="inherit" w:cs="Times New Roman"/>
          <w:b/>
          <w:bCs/>
          <w:color w:val="000000"/>
          <w:kern w:val="0"/>
          <w:sz w:val="24"/>
          <w:szCs w:val="24"/>
          <w:bdr w:val="none" w:sz="0" w:space="0" w:color="auto" w:frame="1"/>
          <w:lang w:eastAsia="it-IT"/>
          <w14:ligatures w14:val="none"/>
        </w:rPr>
        <w:t>Soprintendenza</w:t>
      </w:r>
      <w:r w:rsidRPr="001D7A5A">
        <w:rPr>
          <w:rFonts w:ascii="Work Sans" w:eastAsia="Times New Roman" w:hAnsi="Work Sans" w:cs="Times New Roman"/>
          <w:color w:val="000000"/>
          <w:kern w:val="0"/>
          <w:sz w:val="24"/>
          <w:szCs w:val="24"/>
          <w:lang w:eastAsia="it-IT"/>
          <w14:ligatures w14:val="none"/>
        </w:rPr>
        <w:t>, entro 15 gg. dalla ricezione della domanda, </w:t>
      </w:r>
      <w:r w:rsidRPr="001D7A5A">
        <w:rPr>
          <w:rFonts w:ascii="inherit" w:eastAsia="Times New Roman" w:hAnsi="inherit" w:cs="Times New Roman"/>
          <w:b/>
          <w:bCs/>
          <w:color w:val="000000"/>
          <w:kern w:val="0"/>
          <w:sz w:val="24"/>
          <w:szCs w:val="24"/>
          <w:bdr w:val="none" w:sz="0" w:space="0" w:color="auto" w:frame="1"/>
          <w:lang w:eastAsia="it-IT"/>
          <w14:ligatures w14:val="none"/>
        </w:rPr>
        <w:t>rappresenti in modo puntuale e motivato la necessità di approfondimenti o di apportare modifiche al progetto</w:t>
      </w:r>
      <w:r w:rsidRPr="001D7A5A">
        <w:rPr>
          <w:rFonts w:ascii="Work Sans" w:eastAsia="Times New Roman" w:hAnsi="Work Sans" w:cs="Times New Roman"/>
          <w:color w:val="000000"/>
          <w:kern w:val="0"/>
          <w:sz w:val="24"/>
          <w:szCs w:val="24"/>
          <w:lang w:eastAsia="it-IT"/>
          <w14:ligatures w14:val="none"/>
        </w:rPr>
        <w:t>.</w:t>
      </w:r>
    </w:p>
    <w:p w14:paraId="3A929B67" w14:textId="77777777" w:rsidR="001D7A5A" w:rsidRPr="001D7A5A" w:rsidRDefault="001D7A5A" w:rsidP="001D7A5A">
      <w:pPr>
        <w:shd w:val="clear" w:color="auto" w:fill="FFFFFF"/>
        <w:spacing w:after="18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 </w:t>
      </w:r>
    </w:p>
    <w:p w14:paraId="25608766" w14:textId="77777777" w:rsidR="001D7A5A" w:rsidRPr="001D7A5A" w:rsidRDefault="001D7A5A" w:rsidP="001D7A5A">
      <w:pPr>
        <w:shd w:val="clear" w:color="auto" w:fill="FFFFFF"/>
        <w:spacing w:after="0" w:line="360" w:lineRule="atLeast"/>
        <w:textAlignment w:val="baseline"/>
        <w:rPr>
          <w:rFonts w:ascii="Work Sans" w:eastAsia="Times New Roman" w:hAnsi="Work Sans" w:cs="Times New Roman"/>
          <w:color w:val="000000"/>
          <w:kern w:val="0"/>
          <w:sz w:val="24"/>
          <w:szCs w:val="24"/>
          <w:lang w:eastAsia="it-IT"/>
          <w14:ligatures w14:val="none"/>
        </w:rPr>
      </w:pP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Mediazione in condominio </w:t>
      </w:r>
      <w:r w:rsidRPr="001D7A5A">
        <w:rPr>
          <w:rFonts w:ascii="inherit" w:eastAsia="Times New Roman" w:hAnsi="inherit" w:cs="Times New Roman"/>
          <w:b/>
          <w:bCs/>
          <w:i/>
          <w:iCs/>
          <w:color w:val="000000"/>
          <w:kern w:val="0"/>
          <w:sz w:val="24"/>
          <w:szCs w:val="24"/>
          <w:u w:val="single"/>
          <w:bdr w:val="none" w:sz="0" w:space="0" w:color="auto" w:frame="1"/>
          <w:lang w:eastAsia="it-IT"/>
          <w14:ligatures w14:val="none"/>
        </w:rPr>
        <w:t>(art. 37)</w:t>
      </w:r>
      <w:r w:rsidRPr="001D7A5A">
        <w:rPr>
          <w:rFonts w:ascii="inherit" w:eastAsia="Times New Roman" w:hAnsi="inherit" w:cs="Times New Roman"/>
          <w:b/>
          <w:bCs/>
          <w:color w:val="000000"/>
          <w:kern w:val="0"/>
          <w:sz w:val="24"/>
          <w:szCs w:val="24"/>
          <w:u w:val="single"/>
          <w:bdr w:val="none" w:sz="0" w:space="0" w:color="auto" w:frame="1"/>
          <w:lang w:eastAsia="it-IT"/>
          <w14:ligatures w14:val="none"/>
        </w:rPr>
        <w:t> </w:t>
      </w:r>
    </w:p>
    <w:p w14:paraId="03372AC0" w14:textId="77777777" w:rsidR="001D7A5A" w:rsidRPr="001D7A5A" w:rsidRDefault="001D7A5A" w:rsidP="001D7A5A">
      <w:pPr>
        <w:shd w:val="clear" w:color="auto" w:fill="FFFFFF"/>
        <w:spacing w:after="180" w:line="360" w:lineRule="atLeast"/>
        <w:jc w:val="both"/>
        <w:textAlignment w:val="baseline"/>
        <w:rPr>
          <w:rFonts w:ascii="Work Sans" w:eastAsia="Times New Roman" w:hAnsi="Work Sans" w:cs="Times New Roman"/>
          <w:color w:val="000000"/>
          <w:kern w:val="0"/>
          <w:sz w:val="24"/>
          <w:szCs w:val="24"/>
          <w:lang w:eastAsia="it-IT"/>
          <w14:ligatures w14:val="none"/>
        </w:rPr>
      </w:pPr>
      <w:r w:rsidRPr="001D7A5A">
        <w:rPr>
          <w:rFonts w:ascii="Work Sans" w:eastAsia="Times New Roman" w:hAnsi="Work Sans" w:cs="Times New Roman"/>
          <w:color w:val="000000"/>
          <w:kern w:val="0"/>
          <w:sz w:val="24"/>
          <w:szCs w:val="24"/>
          <w:lang w:eastAsia="it-IT"/>
          <w14:ligatures w14:val="none"/>
        </w:rPr>
        <w:t>Confermata infine la proroga al 30 giugno 2023 della vigenza della attuale disciplina sulla mediazione in condominio al fine di non creare un vuoto normativo. Successivamente a quella data entreranno in vigore le modifiche apportate al D. Lgs. 28/2010 che prevedono che l’amministratore del condominio possa partecipare alla mediazione senza la preventiva delibera assembleare.</w:t>
      </w:r>
    </w:p>
    <w:p w14:paraId="02A10602" w14:textId="77777777" w:rsidR="00BF3EA7" w:rsidRDefault="00BF3EA7"/>
    <w:sectPr w:rsidR="00BF3EA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F64A" w14:textId="77777777" w:rsidR="00DE2D44" w:rsidRDefault="00DE2D44" w:rsidP="001D7A5A">
      <w:pPr>
        <w:spacing w:after="0" w:line="240" w:lineRule="auto"/>
      </w:pPr>
      <w:r>
        <w:separator/>
      </w:r>
    </w:p>
  </w:endnote>
  <w:endnote w:type="continuationSeparator" w:id="0">
    <w:p w14:paraId="21B0829E" w14:textId="77777777" w:rsidR="00DE2D44" w:rsidRDefault="00DE2D44" w:rsidP="001D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39108"/>
      <w:docPartObj>
        <w:docPartGallery w:val="Page Numbers (Bottom of Page)"/>
        <w:docPartUnique/>
      </w:docPartObj>
    </w:sdtPr>
    <w:sdtContent>
      <w:p w14:paraId="75EADB92" w14:textId="43FD8A81" w:rsidR="001D7A5A" w:rsidRDefault="001D7A5A">
        <w:pPr>
          <w:pStyle w:val="Pidipagina"/>
          <w:jc w:val="center"/>
        </w:pPr>
        <w:r>
          <w:fldChar w:fldCharType="begin"/>
        </w:r>
        <w:r>
          <w:instrText>PAGE   \* MERGEFORMAT</w:instrText>
        </w:r>
        <w:r>
          <w:fldChar w:fldCharType="separate"/>
        </w:r>
        <w:r>
          <w:t>2</w:t>
        </w:r>
        <w:r>
          <w:fldChar w:fldCharType="end"/>
        </w:r>
      </w:p>
    </w:sdtContent>
  </w:sdt>
  <w:p w14:paraId="467674FF" w14:textId="77777777" w:rsidR="001D7A5A" w:rsidRDefault="001D7A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11D9" w14:textId="77777777" w:rsidR="00DE2D44" w:rsidRDefault="00DE2D44" w:rsidP="001D7A5A">
      <w:pPr>
        <w:spacing w:after="0" w:line="240" w:lineRule="auto"/>
      </w:pPr>
      <w:r>
        <w:separator/>
      </w:r>
    </w:p>
  </w:footnote>
  <w:footnote w:type="continuationSeparator" w:id="0">
    <w:p w14:paraId="288B7FC4" w14:textId="77777777" w:rsidR="00DE2D44" w:rsidRDefault="00DE2D44" w:rsidP="001D7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5A6D"/>
    <w:multiLevelType w:val="multilevel"/>
    <w:tmpl w:val="8354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C5E2A"/>
    <w:multiLevelType w:val="multilevel"/>
    <w:tmpl w:val="56A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71112"/>
    <w:multiLevelType w:val="multilevel"/>
    <w:tmpl w:val="234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934870">
    <w:abstractNumId w:val="2"/>
  </w:num>
  <w:num w:numId="2" w16cid:durableId="123013126">
    <w:abstractNumId w:val="0"/>
  </w:num>
  <w:num w:numId="3" w16cid:durableId="29290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CB"/>
    <w:rsid w:val="001D7A5A"/>
    <w:rsid w:val="00230719"/>
    <w:rsid w:val="006F48CB"/>
    <w:rsid w:val="00BF3EA7"/>
    <w:rsid w:val="00DE2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C797-E65E-4175-A856-EB97444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7A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A5A"/>
  </w:style>
  <w:style w:type="paragraph" w:styleId="Pidipagina">
    <w:name w:val="footer"/>
    <w:basedOn w:val="Normale"/>
    <w:link w:val="PidipaginaCarattere"/>
    <w:uiPriority w:val="99"/>
    <w:unhideWhenUsed/>
    <w:rsid w:val="001D7A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ce.it/2023/02/decreto-legge-pnrr-le-novita-di-interesse-per-ledilizia-priv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3</cp:revision>
  <dcterms:created xsi:type="dcterms:W3CDTF">2023-05-03T07:02:00Z</dcterms:created>
  <dcterms:modified xsi:type="dcterms:W3CDTF">2023-05-03T07:02:00Z</dcterms:modified>
</cp:coreProperties>
</file>