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2AF7" w14:textId="617B83C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Pr>
          <w:rFonts w:ascii="Work Sans" w:eastAsia="Times New Roman" w:hAnsi="Work Sans" w:cs="Times New Roman"/>
          <w:color w:val="000000"/>
          <w:kern w:val="0"/>
          <w:sz w:val="36"/>
          <w:szCs w:val="36"/>
          <w:lang w:eastAsia="it-IT"/>
          <w14:ligatures w14:val="none"/>
        </w:rPr>
        <w:t>I</w:t>
      </w:r>
      <w:r w:rsidRPr="00C1332A">
        <w:rPr>
          <w:rFonts w:ascii="Work Sans" w:eastAsia="Times New Roman" w:hAnsi="Work Sans" w:cs="Times New Roman"/>
          <w:color w:val="000000"/>
          <w:kern w:val="0"/>
          <w:sz w:val="36"/>
          <w:szCs w:val="36"/>
          <w:lang w:eastAsia="it-IT"/>
          <w14:ligatures w14:val="none"/>
        </w:rPr>
        <w:t>l Consiglio dei Ministri, nella </w:t>
      </w:r>
      <w:hyperlink r:id="rId7" w:tgtFrame="_blank" w:history="1">
        <w:r w:rsidRPr="00C1332A">
          <w:rPr>
            <w:rFonts w:ascii="Work Sans" w:eastAsia="Times New Roman" w:hAnsi="Work Sans" w:cs="Times New Roman"/>
            <w:color w:val="0095EB"/>
            <w:kern w:val="0"/>
            <w:sz w:val="36"/>
            <w:szCs w:val="36"/>
            <w:u w:val="single"/>
            <w:bdr w:val="none" w:sz="0" w:space="0" w:color="auto" w:frame="1"/>
            <w:lang w:eastAsia="it-IT"/>
            <w14:ligatures w14:val="none"/>
          </w:rPr>
          <w:t xml:space="preserve">seduta n. 32 del 1° maggio </w:t>
        </w:r>
        <w:proofErr w:type="spellStart"/>
        <w:r w:rsidRPr="00C1332A">
          <w:rPr>
            <w:rFonts w:ascii="Work Sans" w:eastAsia="Times New Roman" w:hAnsi="Work Sans" w:cs="Times New Roman"/>
            <w:color w:val="0095EB"/>
            <w:kern w:val="0"/>
            <w:sz w:val="36"/>
            <w:szCs w:val="36"/>
            <w:u w:val="single"/>
            <w:bdr w:val="none" w:sz="0" w:space="0" w:color="auto" w:frame="1"/>
            <w:lang w:eastAsia="it-IT"/>
            <w14:ligatures w14:val="none"/>
          </w:rPr>
          <w:t>u.s</w:t>
        </w:r>
        <w:proofErr w:type="spellEnd"/>
      </w:hyperlink>
      <w:r w:rsidRPr="00C1332A">
        <w:rPr>
          <w:rFonts w:ascii="Work Sans" w:eastAsia="Times New Roman" w:hAnsi="Work Sans" w:cs="Times New Roman"/>
          <w:color w:val="000000"/>
          <w:kern w:val="0"/>
          <w:sz w:val="36"/>
          <w:szCs w:val="36"/>
          <w:lang w:eastAsia="it-IT"/>
          <w14:ligatures w14:val="none"/>
        </w:rPr>
        <w:t>, ha approvato, tra l’altro, i seguenti provvedimenti:</w:t>
      </w:r>
    </w:p>
    <w:p w14:paraId="20543FDE"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w:t>
      </w:r>
    </w:p>
    <w:p w14:paraId="5B22DE1F"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w:t>
      </w:r>
      <w:r w:rsidRPr="00C1332A">
        <w:rPr>
          <w:rFonts w:ascii="inherit" w:eastAsia="Times New Roman" w:hAnsi="inherit" w:cs="Times New Roman"/>
          <w:b/>
          <w:bCs/>
          <w:color w:val="000000"/>
          <w:kern w:val="0"/>
          <w:sz w:val="36"/>
          <w:szCs w:val="36"/>
          <w:u w:val="single"/>
          <w:bdr w:val="none" w:sz="0" w:space="0" w:color="auto" w:frame="1"/>
          <w:lang w:eastAsia="it-IT"/>
          <w14:ligatures w14:val="none"/>
        </w:rPr>
        <w:t>un decreto-legge che introduce misure urgenti per l’inclusione sociale e l’accesso al mondo del lavoro</w:t>
      </w:r>
      <w:r w:rsidRPr="00C1332A">
        <w:rPr>
          <w:rFonts w:ascii="Work Sans" w:eastAsia="Times New Roman" w:hAnsi="Work Sans" w:cs="Times New Roman"/>
          <w:color w:val="000000"/>
          <w:kern w:val="0"/>
          <w:sz w:val="36"/>
          <w:szCs w:val="36"/>
          <w:lang w:eastAsia="it-IT"/>
          <w14:ligatures w14:val="none"/>
        </w:rPr>
        <w:t>.</w:t>
      </w:r>
    </w:p>
    <w:p w14:paraId="63B0271F"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Il testo interviene con misure volte a ridurre il cuneo fiscale, per la parte contributiva, nei confronti dei lavoratori dipendenti con redditi fino a 35.000 euro lordi annui; a contrastare la povertà e l’esclusione sociale, con particolare attenzione per le famiglie al cui interno siano presenti soggetti fragili, minori o anziani; a promuovere politiche attive del lavoro, con l’obiettivo di assicurare un’adeguata formazione a chi non ha un’occupazione ed è in grado di svolgere un’attività lavorativa e di favorire l’incontro tra domanda e offerta di lavoro. Si introducono poi interventi urgenti volti a rafforzare le regole di sicurezza sul lavoro e di tutela contro gli infortuni e si modifica la disciplina del contratto di lavoro a termine.</w:t>
      </w:r>
    </w:p>
    <w:p w14:paraId="77D9C49F"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Misure a sostegno dei lavoratori e per la riduzione della pressione fiscale</w:t>
      </w:r>
    </w:p>
    <w:p w14:paraId="78590B55"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innalza, dal 2 al 6 per cento, l’esonero parziale sulla quota dei contributi previdenziali per l’invalidità, la vecchiaia e i superstiti a carico dei lavoratori dipendenti per i periodi di paga dal 1° luglio al 31 dicembre 2023 (con esclusione della tredicesima mensilità). L’esenzione è innalzata al 7 per cento se la retribuzione imponibile non eccede l’importo mensile di 1.923 euro.</w:t>
      </w:r>
    </w:p>
    <w:p w14:paraId="0B14BA96"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lastRenderedPageBreak/>
        <w:t>Si conferma l’incremento della soglia dei fringe benefit a 3.000 euro per il 2023, esclusivamente per i lavoratori dipendenti con figli a carico.</w:t>
      </w:r>
    </w:p>
    <w:p w14:paraId="3546C5F7"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prevede una estensione ai genitori vedovi della maggiorazione dell’assegno unico prevista per i nuclei familiari in cui entrambi i genitori siano occupati.</w:t>
      </w:r>
    </w:p>
    <w:p w14:paraId="7725546B"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Misure di inclusione sociale e lavorativa, di accompagnamento al lavoro e di incentivazione dell’occupazione giovanile</w:t>
      </w:r>
    </w:p>
    <w:p w14:paraId="6E2475D8"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Dal 1° gennaio 2024, si introduce una misura nazionale di contrasto alla povertà, che consiste in una integrazione al reddito in favore dei nuclei familiari che comprendano una persona con disabilità, un minorenne o un ultra-sessantenne e che siano in possesso di determinati requisiti, relativi alla cittadinanza o all’autorizzazione al soggiorno del richiedente, alla durata della residenza in Italia e alle condizioni economiche. Il beneficio mensile, di importo non inferiore a 480 euro all’anno esenti dall’IRPEF, sarà erogato dall’INPS attraverso uno strumento di pagamento elettronico, per un periodo massimo di 18 mesi continuativi, con la possibilità di un rinnovo per ulteriori 12 mesi. Il nucleo beneficiario sarà tenuto a sottoscrivere un patto di attivazione digitale e a presentarsi, con cadenza trimestrale, presso i patronati o i servizi sociali e i centri per l’impiego, al fine di aggiornare la propria posizione.</w:t>
      </w:r>
    </w:p>
    <w:p w14:paraId="07C9CBBE"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lastRenderedPageBreak/>
        <w:t>Per i soggetti occupabili, cioè coloro che hanno una età compresa tra i 18 e i 59 anni e non rientrano tra le categorie individuate come “fragili”, è prevista la decadenza dal beneficio nel caso di rifiuto di una offerta di lavoro a tempo pieno o parziale, non inferiore al 60 per cento dell’orario a tempo pieno e con una retribuzione non inferiore ai minimi salariali previsti dai contratti collettivi e che sia, alternativamente:</w:t>
      </w:r>
    </w:p>
    <w:p w14:paraId="6399FDA1" w14:textId="77777777" w:rsidR="00C1332A" w:rsidRPr="00C1332A" w:rsidRDefault="00C1332A" w:rsidP="00C1332A">
      <w:pPr>
        <w:numPr>
          <w:ilvl w:val="0"/>
          <w:numId w:val="3"/>
        </w:numPr>
        <w:shd w:val="clear" w:color="auto" w:fill="FFFFFF"/>
        <w:spacing w:after="150" w:line="473" w:lineRule="atLeast"/>
        <w:ind w:left="1170"/>
        <w:jc w:val="both"/>
        <w:textAlignment w:val="baseline"/>
        <w:rPr>
          <w:rFonts w:ascii="Work Sans" w:eastAsia="Times New Roman" w:hAnsi="Work Sans" w:cs="Times New Roman"/>
          <w:color w:val="737E86"/>
          <w:kern w:val="0"/>
          <w:sz w:val="36"/>
          <w:szCs w:val="36"/>
          <w:lang w:eastAsia="it-IT"/>
          <w14:ligatures w14:val="none"/>
        </w:rPr>
      </w:pPr>
      <w:r w:rsidRPr="00C1332A">
        <w:rPr>
          <w:rFonts w:ascii="Work Sans" w:eastAsia="Times New Roman" w:hAnsi="Work Sans" w:cs="Times New Roman"/>
          <w:color w:val="737E86"/>
          <w:kern w:val="0"/>
          <w:sz w:val="36"/>
          <w:szCs w:val="36"/>
          <w:lang w:eastAsia="it-IT"/>
          <w14:ligatures w14:val="none"/>
        </w:rPr>
        <w:t>a tempo indeterminato, su tutto il territorio nazionale;</w:t>
      </w:r>
    </w:p>
    <w:p w14:paraId="25A3FFE0" w14:textId="77777777" w:rsidR="00C1332A" w:rsidRPr="00C1332A" w:rsidRDefault="00C1332A" w:rsidP="00C1332A">
      <w:pPr>
        <w:numPr>
          <w:ilvl w:val="0"/>
          <w:numId w:val="3"/>
        </w:numPr>
        <w:shd w:val="clear" w:color="auto" w:fill="FFFFFF"/>
        <w:spacing w:after="150" w:line="473" w:lineRule="atLeast"/>
        <w:ind w:left="1170"/>
        <w:jc w:val="both"/>
        <w:textAlignment w:val="baseline"/>
        <w:rPr>
          <w:rFonts w:ascii="Work Sans" w:eastAsia="Times New Roman" w:hAnsi="Work Sans" w:cs="Times New Roman"/>
          <w:color w:val="737E86"/>
          <w:kern w:val="0"/>
          <w:sz w:val="36"/>
          <w:szCs w:val="36"/>
          <w:lang w:eastAsia="it-IT"/>
          <w14:ligatures w14:val="none"/>
        </w:rPr>
      </w:pPr>
      <w:r w:rsidRPr="00C1332A">
        <w:rPr>
          <w:rFonts w:ascii="Work Sans" w:eastAsia="Times New Roman" w:hAnsi="Work Sans" w:cs="Times New Roman"/>
          <w:color w:val="737E86"/>
          <w:kern w:val="0"/>
          <w:sz w:val="36"/>
          <w:szCs w:val="36"/>
          <w:lang w:eastAsia="it-IT"/>
          <w14:ligatures w14:val="none"/>
        </w:rPr>
        <w:t>a tempo determinato, anche in somministrazione, se il luogo di lavoro non dista oltre 80 km dal domicilio.</w:t>
      </w:r>
    </w:p>
    <w:p w14:paraId="1F9C0DEB"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Per evitare il godimento irregolare del beneficio, sono previsti un adeguato regime sanzionatorio e una specifica attività di vigilanza da parte del personale ispettivo dell’Ispettorato nazionale del lavoro (INL), dell’INPS, della Guardia di finanza e dei Carabinieri.</w:t>
      </w:r>
    </w:p>
    <w:p w14:paraId="40CEA62B"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I datori di lavoro privati che intendano assumere i beneficiari potranno fruire, a determinate condizioni, di incentivi nella forma di un esonero contributivo previdenziale. Ai patronati, alle associazioni senza fini di lucro e agli altri enti di mediazione sarà riconosciuto, per ogni persona con disabilità assunta a seguito dell’attività da loro svolta, un contributo compreso tra il 60 e l’80 per cento di quello riconosciuto ai datori di lavori.</w:t>
      </w:r>
    </w:p>
    <w:p w14:paraId="52C9A97E"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lastRenderedPageBreak/>
        <w:t>Ai soggetti di età compresa fra i 18 e 59 anni in condizioni di povertà assoluta, facenti parte di nuclei familiari privi dei requisiti per accedere al sostegno al reddito e ai componenti di nuclei che invece lo percepiscono e che non siano calcolati nella scala di equivalenza, è riconosciuto un diverso contributo, volto a sostenere il percorso di inserimento lavorativo, anche attraverso la partecipazione a progetti di formazione, di qualificazione e riqualificazione professionale, di orientamento, di accompagnamento al lavoro e di politiche attive. Tra tali misure rientra anche il servizio civile universale, per accedere al quale sono previste deroghe ai limiti di età e quote di riserva nei relativi bandi. Al fine di beneficiare dello strumento, i soggetti interessati dovranno registrarsi su una piattaforma informatica nazionale, rilasciare una dichiarazione di immediata disponibilità al lavoro, rispondere a determinati requisiti e sottoscrivere un patto di servizio personalizzato, a seguito del quale potranno ricevere offerte di lavoro o essere inseriti in specifici progetti di formazione. Durante la partecipazione ai programmi formativi, per un massimo di dodici mensilità, gli interessati riceveranno un beneficio economico pari a 350 euro mensili.</w:t>
      </w:r>
    </w:p>
    <w:p w14:paraId="1D7839DE"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xml:space="preserve">Inoltre, per favorire l’occupazione giovanile sono previsti incentivi pari al 60 per cento della retribuzione per un periodo di 12 mesi, a favore dei datori di lavoro che assumono giovani sotto i trenta anni di età, non inseriti in programmi formativi e registrati nel PON </w:t>
      </w:r>
      <w:r w:rsidRPr="00C1332A">
        <w:rPr>
          <w:rFonts w:ascii="Work Sans" w:eastAsia="Times New Roman" w:hAnsi="Work Sans" w:cs="Times New Roman"/>
          <w:color w:val="000000"/>
          <w:kern w:val="0"/>
          <w:sz w:val="36"/>
          <w:szCs w:val="36"/>
          <w:lang w:eastAsia="it-IT"/>
          <w14:ligatures w14:val="none"/>
        </w:rPr>
        <w:lastRenderedPageBreak/>
        <w:t>“Iniziativa Occupazione Giovani”. L’incentivo è cumulabile con l’esonero contributivo nella misura del 100 per cento, per un periodo massimo di trentasei mesi, e con altri incentivi previsti dalla legislazione vigente.</w:t>
      </w:r>
    </w:p>
    <w:p w14:paraId="2850AD20"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Misure sui contratti a termine</w:t>
      </w:r>
    </w:p>
    <w:p w14:paraId="3A0E764C"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apportano modifiche alla disciplina del contratto di lavoro a termine (cosiddetto “tempo determinato”), variando le causali che possono essere indicate nei contratti di durata compresa tra i 12 e i 24 mesi (comprese le proroghe e i rinnovi), per consentire un uso più flessibile di tale tipologia contrattuale, mantenendo comunque fermo il rispetto della direttiva europea sulla prevenzione degli abusi.</w:t>
      </w:r>
    </w:p>
    <w:p w14:paraId="57DD1AFF"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Pertanto, i contratti potranno avere durata superiore ai 12 mesi, ma non eccedente i 24 mesi:</w:t>
      </w:r>
    </w:p>
    <w:p w14:paraId="58619D39" w14:textId="77777777" w:rsidR="00C1332A" w:rsidRPr="00C1332A" w:rsidRDefault="00C1332A" w:rsidP="00C1332A">
      <w:pPr>
        <w:numPr>
          <w:ilvl w:val="0"/>
          <w:numId w:val="4"/>
        </w:numPr>
        <w:shd w:val="clear" w:color="auto" w:fill="FFFFFF"/>
        <w:spacing w:after="150" w:line="473" w:lineRule="atLeast"/>
        <w:ind w:left="1170"/>
        <w:jc w:val="both"/>
        <w:textAlignment w:val="baseline"/>
        <w:rPr>
          <w:rFonts w:ascii="Work Sans" w:eastAsia="Times New Roman" w:hAnsi="Work Sans" w:cs="Times New Roman"/>
          <w:color w:val="737E86"/>
          <w:kern w:val="0"/>
          <w:sz w:val="36"/>
          <w:szCs w:val="36"/>
          <w:lang w:eastAsia="it-IT"/>
          <w14:ligatures w14:val="none"/>
        </w:rPr>
      </w:pPr>
      <w:r w:rsidRPr="00C1332A">
        <w:rPr>
          <w:rFonts w:ascii="Work Sans" w:eastAsia="Times New Roman" w:hAnsi="Work Sans" w:cs="Times New Roman"/>
          <w:color w:val="737E86"/>
          <w:kern w:val="0"/>
          <w:sz w:val="36"/>
          <w:szCs w:val="36"/>
          <w:lang w:eastAsia="it-IT"/>
          <w14:ligatures w14:val="none"/>
        </w:rPr>
        <w:t>nei casi previsti dai contratti collettivi;</w:t>
      </w:r>
    </w:p>
    <w:p w14:paraId="33D985D3" w14:textId="77777777" w:rsidR="00C1332A" w:rsidRPr="00C1332A" w:rsidRDefault="00C1332A" w:rsidP="00C1332A">
      <w:pPr>
        <w:numPr>
          <w:ilvl w:val="0"/>
          <w:numId w:val="4"/>
        </w:numPr>
        <w:shd w:val="clear" w:color="auto" w:fill="FFFFFF"/>
        <w:spacing w:after="150" w:line="473" w:lineRule="atLeast"/>
        <w:ind w:left="1170"/>
        <w:jc w:val="both"/>
        <w:textAlignment w:val="baseline"/>
        <w:rPr>
          <w:rFonts w:ascii="Work Sans" w:eastAsia="Times New Roman" w:hAnsi="Work Sans" w:cs="Times New Roman"/>
          <w:color w:val="737E86"/>
          <w:kern w:val="0"/>
          <w:sz w:val="36"/>
          <w:szCs w:val="36"/>
          <w:lang w:eastAsia="it-IT"/>
          <w14:ligatures w14:val="none"/>
        </w:rPr>
      </w:pPr>
      <w:r w:rsidRPr="00C1332A">
        <w:rPr>
          <w:rFonts w:ascii="Work Sans" w:eastAsia="Times New Roman" w:hAnsi="Work Sans" w:cs="Times New Roman"/>
          <w:color w:val="737E86"/>
          <w:kern w:val="0"/>
          <w:sz w:val="36"/>
          <w:szCs w:val="36"/>
          <w:lang w:eastAsia="it-IT"/>
          <w14:ligatures w14:val="none"/>
        </w:rPr>
        <w:t>per esigenze di natura tecnica, organizzativa o produttiva, individuate dalle parti, in caso di mancato esercizio da parte della contrattazione collettiva, e in ogni caso entro il termine del 31 dicembre 2024;</w:t>
      </w:r>
    </w:p>
    <w:p w14:paraId="3AEFBBA1" w14:textId="77777777" w:rsidR="00C1332A" w:rsidRPr="00C1332A" w:rsidRDefault="00C1332A" w:rsidP="00C1332A">
      <w:pPr>
        <w:numPr>
          <w:ilvl w:val="0"/>
          <w:numId w:val="4"/>
        </w:numPr>
        <w:shd w:val="clear" w:color="auto" w:fill="FFFFFF"/>
        <w:spacing w:after="150" w:line="473" w:lineRule="atLeast"/>
        <w:ind w:left="1170"/>
        <w:jc w:val="both"/>
        <w:textAlignment w:val="baseline"/>
        <w:rPr>
          <w:rFonts w:ascii="Work Sans" w:eastAsia="Times New Roman" w:hAnsi="Work Sans" w:cs="Times New Roman"/>
          <w:color w:val="737E86"/>
          <w:kern w:val="0"/>
          <w:sz w:val="36"/>
          <w:szCs w:val="36"/>
          <w:lang w:eastAsia="it-IT"/>
          <w14:ligatures w14:val="none"/>
        </w:rPr>
      </w:pPr>
      <w:r w:rsidRPr="00C1332A">
        <w:rPr>
          <w:rFonts w:ascii="Work Sans" w:eastAsia="Times New Roman" w:hAnsi="Work Sans" w:cs="Times New Roman"/>
          <w:color w:val="737E86"/>
          <w:kern w:val="0"/>
          <w:sz w:val="36"/>
          <w:szCs w:val="36"/>
          <w:lang w:eastAsia="it-IT"/>
          <w14:ligatures w14:val="none"/>
        </w:rPr>
        <w:t>per sostituire altri lavoratori.</w:t>
      </w:r>
    </w:p>
    <w:p w14:paraId="19FDF060"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Rafforzamento delle regole di sicurezza sul lavoro, di tutela contro gli infortuni e dei controlli ispettivi</w:t>
      </w:r>
    </w:p>
    <w:p w14:paraId="3DFB4108"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xml:space="preserve">Si istituisce, presso il Ministero del lavoro e delle politiche sociali, un Fondo per i familiari degli studenti </w:t>
      </w:r>
      <w:r w:rsidRPr="00C1332A">
        <w:rPr>
          <w:rFonts w:ascii="Work Sans" w:eastAsia="Times New Roman" w:hAnsi="Work Sans" w:cs="Times New Roman"/>
          <w:color w:val="000000"/>
          <w:kern w:val="0"/>
          <w:sz w:val="36"/>
          <w:szCs w:val="36"/>
          <w:lang w:eastAsia="it-IT"/>
          <w14:ligatures w14:val="none"/>
        </w:rPr>
        <w:lastRenderedPageBreak/>
        <w:t>vittime di infortuni in occasione delle attività formative.</w:t>
      </w:r>
    </w:p>
    <w:p w14:paraId="6AFAA58C"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prevedono, tra l’altro: l’obbligo per i datori di lavoro di nominare il medico competente se richiesto dalla valutazione dei rischi; l’estensione ai lavoratori autonomi di alcune misure di tutela previste nei cantieri; l’obbligo di formazione specifica in capo al datore di lavoro nel caso di utilizzo di attrezzature di lavoro per attività professionali e conseguenti sanzioni in caso di inosservanza.</w:t>
      </w:r>
    </w:p>
    <w:p w14:paraId="2CADDD4D"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introducono, inoltre, disposizioni in materia di condivisione dei dati per il rafforzamento della programmazione dell’attività ispettiva e di vigilanza nella Regione siciliana e nelle province autonome di Trento e di Bolzano.</w:t>
      </w:r>
    </w:p>
    <w:p w14:paraId="250FAD1D"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w:t>
      </w:r>
    </w:p>
    <w:p w14:paraId="6570F8B7"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w:t>
      </w:r>
      <w:r w:rsidRPr="00C1332A">
        <w:rPr>
          <w:rFonts w:ascii="inherit" w:eastAsia="Times New Roman" w:hAnsi="inherit" w:cs="Times New Roman"/>
          <w:b/>
          <w:bCs/>
          <w:color w:val="000000"/>
          <w:kern w:val="0"/>
          <w:sz w:val="36"/>
          <w:szCs w:val="36"/>
          <w:u w:val="single"/>
          <w:bdr w:val="none" w:sz="0" w:space="0" w:color="auto" w:frame="1"/>
          <w:lang w:eastAsia="it-IT"/>
          <w14:ligatures w14:val="none"/>
        </w:rPr>
        <w:t>un disegno di legge in materia di lavoro</w:t>
      </w:r>
      <w:r w:rsidRPr="00C1332A">
        <w:rPr>
          <w:rFonts w:ascii="Work Sans" w:eastAsia="Times New Roman" w:hAnsi="Work Sans" w:cs="Times New Roman"/>
          <w:color w:val="000000"/>
          <w:kern w:val="0"/>
          <w:sz w:val="36"/>
          <w:szCs w:val="36"/>
          <w:lang w:eastAsia="it-IT"/>
          <w14:ligatures w14:val="none"/>
        </w:rPr>
        <w:t>.</w:t>
      </w:r>
    </w:p>
    <w:p w14:paraId="3A0273C0"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Di seguito alcune tra le principali previsioni.</w:t>
      </w:r>
    </w:p>
    <w:p w14:paraId="0B1F5C7A"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Contributo per le assunzioni di persone con disabilità</w:t>
      </w:r>
    </w:p>
    <w:p w14:paraId="4D2B71FC"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La disposizione prevede il riconoscimento per enti e organizzazioni di un contributo per ogni persona con disabilità assunta a tempo indeterminato tra il 1° agosto 2022 ed il 31 dicembre 2023.</w:t>
      </w:r>
    </w:p>
    <w:p w14:paraId="16C0BD32"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Modifiche in materia di somministrazione di lavoro</w:t>
      </w:r>
    </w:p>
    <w:p w14:paraId="7B26E92C"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xml:space="preserve">Si eliminano i limiti percentuali relativi alle assunzioni con il contratto di apprendistato in regime di somministrazione e quelli quantitativi in caso di </w:t>
      </w:r>
      <w:r w:rsidRPr="00C1332A">
        <w:rPr>
          <w:rFonts w:ascii="Work Sans" w:eastAsia="Times New Roman" w:hAnsi="Work Sans" w:cs="Times New Roman"/>
          <w:color w:val="000000"/>
          <w:kern w:val="0"/>
          <w:sz w:val="36"/>
          <w:szCs w:val="36"/>
          <w:lang w:eastAsia="it-IT"/>
          <w14:ligatures w14:val="none"/>
        </w:rPr>
        <w:lastRenderedPageBreak/>
        <w:t>somministrazione a tempo indeterminato di specifiche categorie di lavoratori (lavoratori in mobilità, soggetti disoccupati non del settore agricolo).</w:t>
      </w:r>
    </w:p>
    <w:p w14:paraId="1ECC3E2A"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L’esenzione dal rispetto dei limiti quantitativi nell’utilizzo di personale in somministrazione, già prevista per altre fattispecie, si estende al caso in cui tale personale sia assunto dal somministratore con rapporto di lavoro a tempo indeterminato.</w:t>
      </w:r>
    </w:p>
    <w:p w14:paraId="1C798A6E"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Sospensione della prestazione di cassa integrazione</w:t>
      </w:r>
    </w:p>
    <w:p w14:paraId="7DC06823"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estende ai rapporti di lavoro di durata pari o inferiore a sei mesi la disciplina già prevista per quelli di durata superiore, che prevede che il lavoratore non abbia diritto all’integrazione soltanto per le giornate di lavoro effettuate.</w:t>
      </w:r>
    </w:p>
    <w:p w14:paraId="5968002C"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Durata del periodo di prova</w:t>
      </w:r>
    </w:p>
    <w:p w14:paraId="05DB82C3"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puntualizza la tempistica della durata del periodo di prova nel rapporto di lavoro a tempo determinato, fissandola in un giorno di effettiva prestazione per ogni quindici giorni di calendario, e si precisa che in ogni caso tale periodo non può essere inferiore a due giorni.</w:t>
      </w:r>
    </w:p>
    <w:p w14:paraId="51342019"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Rafforzamento degli ambiti territoriali sociali per l’attuazione del LEPS e degli interventi del PNRR</w:t>
      </w:r>
    </w:p>
    <w:p w14:paraId="57C02DD5"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xml:space="preserve">Si rafforzano gli Ambiti territoriali sociali (ATS) mediante il finanziamento dell’incremento delle capacità operative dei servizi sociali comunali svolti in forma singola o associata dai comuni delle regioni a statuto ordinario per le funzioni di programmazione, coordinamento, realizzazione e gestione degli </w:t>
      </w:r>
      <w:r w:rsidRPr="00C1332A">
        <w:rPr>
          <w:rFonts w:ascii="Work Sans" w:eastAsia="Times New Roman" w:hAnsi="Work Sans" w:cs="Times New Roman"/>
          <w:color w:val="000000"/>
          <w:kern w:val="0"/>
          <w:sz w:val="36"/>
          <w:szCs w:val="36"/>
          <w:lang w:eastAsia="it-IT"/>
          <w14:ligatures w14:val="none"/>
        </w:rPr>
        <w:lastRenderedPageBreak/>
        <w:t>interventi, dei servizi e delle attività anche utili al raggiungimento dei livelli essenziali delle prestazioni sociali (LEPS). Si consentono le assunzioni a tempo indeterminato di personale, anche amministrativo, per le funzioni utili al raggiungimento dei LEPS, in deroga ai vincoli di contenimento della spesa di personale.</w:t>
      </w:r>
    </w:p>
    <w:p w14:paraId="02AB1A8D"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Potenziamento dell’attività di accertamento di elusioni e violazioni in ambito contributivo e della riscossione degli importi omessi e promozione dell’adempimento spontaneo degli obblighi contributivi</w:t>
      </w:r>
    </w:p>
    <w:p w14:paraId="79264259"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potenzia la capacità di controllo e verifica dell’INPS, consentendo all’ente accertamenti d’ufficio mediante la consultazione di banche dati non solo dell’Istituto, ma anche di altre pubbliche amministrazioni. Si prevede, inoltre, che gli uffici dell’Ente possano invitare i contribuenti a comparire di persona o mediante rappresentanti per fornire dati ed elementi informativi. Qualora il contribuente effettui il pagamento integrale entro quaranta giorni dal ricevimento dell’accertamento, le sanzioni civili sono ridotte nella misura del 50%. Entro tale termine il contribuente può inoltrare domanda di dilazione.</w:t>
      </w:r>
    </w:p>
    <w:p w14:paraId="4BCC5A34"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xml:space="preserve">L’INPS può trasmettere al contribuente la comunicazione di eventuali anomalie affinché quest’ultimo provveda alla correzione. Il contribuente ha un termine di novanta giorni dalla notifica della comunicazione per segnalare eventuali elementi, fatti o circostanze per confutare quanto comunicato. Il contribuente che provveda alla regolarizzazione delle </w:t>
      </w:r>
      <w:r w:rsidRPr="00C1332A">
        <w:rPr>
          <w:rFonts w:ascii="Work Sans" w:eastAsia="Times New Roman" w:hAnsi="Work Sans" w:cs="Times New Roman"/>
          <w:color w:val="000000"/>
          <w:kern w:val="0"/>
          <w:sz w:val="36"/>
          <w:szCs w:val="36"/>
          <w:lang w:eastAsia="it-IT"/>
          <w14:ligatures w14:val="none"/>
        </w:rPr>
        <w:lastRenderedPageBreak/>
        <w:t>anomalie ed effettui entro trenta giorni il versamento dei contributi è ammesso al pagamento della sanzione civile in misura annua pari al 2,75% dell’importo della contribuzione dovuta ed in caso di pagamento in forma dilazionata, la riduzione della sanzione è subordinata al versamento della prima rata. Sono previste specifiche disposizioni per l’omesso o tardivo versamento di una delle successive rate e per i casi di assenza di segnalazioni o di regolarizzazione da parte del contribuente.</w:t>
      </w:r>
    </w:p>
    <w:p w14:paraId="79AD4FD5"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Pagamento dilazionato dei debiti contributivi</w:t>
      </w:r>
    </w:p>
    <w:p w14:paraId="08DCA182"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aumenta il numero di rate, previste per il pagamento dei premi, passando dagli attuali 24 a 60 mesi.</w:t>
      </w:r>
    </w:p>
    <w:p w14:paraId="132CA6E9"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Ricostituzione del Fondo nazionale per le Politiche Migratorie</w:t>
      </w:r>
    </w:p>
    <w:p w14:paraId="330BF257"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prevede l’incremento, per l’anno 2023, di un importo pari a euro 2.427.740 per il Fondo nazionale per le politiche migratorie, istituito presso la Presidenza del Consiglio.</w:t>
      </w:r>
    </w:p>
    <w:p w14:paraId="6C5CC832"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inherit" w:eastAsia="Times New Roman" w:hAnsi="inherit" w:cs="Times New Roman"/>
          <w:b/>
          <w:bCs/>
          <w:color w:val="000000"/>
          <w:kern w:val="0"/>
          <w:sz w:val="36"/>
          <w:szCs w:val="36"/>
          <w:bdr w:val="none" w:sz="0" w:space="0" w:color="auto" w:frame="1"/>
          <w:lang w:eastAsia="it-IT"/>
          <w14:ligatures w14:val="none"/>
        </w:rPr>
        <w:t>Ricongiunzione, ai fini previdenziali, dei periodi assicurativi per i lavoratori dipendenti, autonomi e per i liberi professionisti</w:t>
      </w:r>
    </w:p>
    <w:p w14:paraId="3E792924"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Si modifica la disciplina della ricongiunzione ai fini previdenziali dei periodi assicurativi, allineando il rendimento previsto a quello offerto dal sistema contributivo, pari alla media quinquennale del tasso di crescita del PIL.  </w:t>
      </w:r>
    </w:p>
    <w:p w14:paraId="492C1109"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lastRenderedPageBreak/>
        <w:t>Il testo prevede, infine, norme relative all’istituzione del Sistema informativo per la lotta al caporalato in agricoltura; l’uniformazione dei tempi di presentazione delle domande di accesso ad Ape sociale e di pensionamento anticipato con requisito contributivo ridotto; modifiche al Codice del terzo settore per consentire la partecipazione a distanza alle assemblee; </w:t>
      </w:r>
      <w:r w:rsidRPr="00C1332A">
        <w:rPr>
          <w:rFonts w:ascii="inherit" w:eastAsia="Times New Roman" w:hAnsi="inherit" w:cs="Times New Roman"/>
          <w:b/>
          <w:bCs/>
          <w:color w:val="000000"/>
          <w:kern w:val="0"/>
          <w:sz w:val="36"/>
          <w:szCs w:val="36"/>
          <w:bdr w:val="none" w:sz="0" w:space="0" w:color="auto" w:frame="1"/>
          <w:lang w:eastAsia="it-IT"/>
          <w14:ligatures w14:val="none"/>
        </w:rPr>
        <w:t>modifiche relative ai fondi di solidarietà bilaterali</w:t>
      </w:r>
      <w:r w:rsidRPr="00C1332A">
        <w:rPr>
          <w:rFonts w:ascii="Work Sans" w:eastAsia="Times New Roman" w:hAnsi="Work Sans" w:cs="Times New Roman"/>
          <w:color w:val="000000"/>
          <w:kern w:val="0"/>
          <w:sz w:val="36"/>
          <w:szCs w:val="36"/>
          <w:lang w:eastAsia="it-IT"/>
          <w14:ligatures w14:val="none"/>
        </w:rPr>
        <w:t>.</w:t>
      </w:r>
    </w:p>
    <w:p w14:paraId="3A9660A2"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w:t>
      </w:r>
    </w:p>
    <w:p w14:paraId="360602F0" w14:textId="77777777" w:rsidR="00C1332A" w:rsidRPr="00C1332A" w:rsidRDefault="00C1332A" w:rsidP="00C1332A">
      <w:pPr>
        <w:shd w:val="clear" w:color="auto" w:fill="FFFFFF"/>
        <w:spacing w:after="0"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w:t>
      </w:r>
      <w:r w:rsidRPr="00C1332A">
        <w:rPr>
          <w:rFonts w:ascii="Work Sans" w:eastAsia="Times New Roman" w:hAnsi="Work Sans" w:cs="Times New Roman"/>
          <w:color w:val="000000"/>
          <w:kern w:val="0"/>
          <w:sz w:val="36"/>
          <w:szCs w:val="36"/>
          <w:u w:val="single"/>
          <w:bdr w:val="none" w:sz="0" w:space="0" w:color="auto" w:frame="1"/>
          <w:lang w:eastAsia="it-IT"/>
          <w14:ligatures w14:val="none"/>
        </w:rPr>
        <w:t>in esame preliminare, un decreto legislativo che, in attuazione dell’articolo 2, comma 2, lettera e), della legge 22 dicembre 2021, n. 227, introduce </w:t>
      </w:r>
      <w:r w:rsidRPr="00C1332A">
        <w:rPr>
          <w:rFonts w:ascii="inherit" w:eastAsia="Times New Roman" w:hAnsi="inherit" w:cs="Times New Roman"/>
          <w:b/>
          <w:bCs/>
          <w:color w:val="000000"/>
          <w:kern w:val="0"/>
          <w:sz w:val="36"/>
          <w:szCs w:val="36"/>
          <w:u w:val="single"/>
          <w:bdr w:val="none" w:sz="0" w:space="0" w:color="auto" w:frame="1"/>
          <w:lang w:eastAsia="it-IT"/>
          <w14:ligatures w14:val="none"/>
        </w:rPr>
        <w:t>norme relative alla riqualificazione dei servizi pubblici per l’inclusione e l’accessibilità</w:t>
      </w:r>
      <w:r w:rsidRPr="00C1332A">
        <w:rPr>
          <w:rFonts w:ascii="Work Sans" w:eastAsia="Times New Roman" w:hAnsi="Work Sans" w:cs="Times New Roman"/>
          <w:color w:val="000000"/>
          <w:kern w:val="0"/>
          <w:sz w:val="36"/>
          <w:szCs w:val="36"/>
          <w:lang w:eastAsia="it-IT"/>
          <w14:ligatures w14:val="none"/>
        </w:rPr>
        <w:t>.</w:t>
      </w:r>
    </w:p>
    <w:p w14:paraId="1FAB9418"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xml:space="preserve">Si introduce un’apposita figura qualificata nell’ambito delle pubbliche amministrazioni, preposta alla programmazione strategica della piena accessibilità delle amministrazioni da parte delle persone con disabilità. A tale figura spetta il compito di individuare le modalità e le azioni dirette a realizzare la piena accessibilità alle amministrazioni, fisica e digitale, da parte dei cittadini ultrasessantacinquenni e dei cittadini con disabilità; la stessa figura propone tali attività tra gli obiettivi programmatici e strategici della performance dell’amministrazione. Inoltre, gli obiettivi di tutela e accessibilità delle persone con disabilità nell’esercizio delle prestazioni lavorative e nell’accesso e fruizione dei servizi della pubblica amministrazione </w:t>
      </w:r>
      <w:r w:rsidRPr="00C1332A">
        <w:rPr>
          <w:rFonts w:ascii="Work Sans" w:eastAsia="Times New Roman" w:hAnsi="Work Sans" w:cs="Times New Roman"/>
          <w:color w:val="000000"/>
          <w:kern w:val="0"/>
          <w:sz w:val="36"/>
          <w:szCs w:val="36"/>
          <w:lang w:eastAsia="it-IT"/>
          <w14:ligatures w14:val="none"/>
        </w:rPr>
        <w:lastRenderedPageBreak/>
        <w:t>entrano a far parte del sistema di valutazione dei risultati anche in relazione alla responsabilità dei dirigenti. Infine, si estende il campo di applicazione dell’azione collettiva nei confronti delle pubbliche amministrazioni nei casi di mancata attuazione o violazione dei livelli essenziali per l’inclusione sociale e l’accessibilità delle persone con disabilità o degli obblighi previsti.</w:t>
      </w:r>
    </w:p>
    <w:p w14:paraId="145D2D92"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w:t>
      </w:r>
    </w:p>
    <w:p w14:paraId="55A9ED24"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Il Consiglio dei Ministri ha, inoltre, deliberato la prosecuzione delle missioni internazionali e delle iniziative di cooperazione allo sviluppo in corso e l’avvio di nuove missioni internazionali per il 2023.</w:t>
      </w:r>
    </w:p>
    <w:p w14:paraId="72FB5345"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w:t>
      </w:r>
    </w:p>
    <w:p w14:paraId="2EB66C10"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Infine ha esaminato alcune leggi regionali deliberando di non impugnare, tra l’altro, le seguenti:</w:t>
      </w:r>
    </w:p>
    <w:p w14:paraId="275C6E2B"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legge della Regione Friuli-Venezia Giulia n. 10 del 03/03/2023, recante “Misure per la semplificazione e la crescita economica”;</w:t>
      </w:r>
    </w:p>
    <w:p w14:paraId="1FFB1E9F"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legge della Regione Umbria n. 1 del 06/03/2023, recante “Disciplina dell’assegnazione delle concessioni di grandi derivazioni idroelettriche in Umbria e determinazione del canone in attuazione dell’articolo 12 del decreto legislativo 16 marzo 1999, n; 79 (Attuazione della direttiva 96/92/CE recante norme comuni per il mercato interno dell’energia elettrica)”;</w:t>
      </w:r>
    </w:p>
    <w:p w14:paraId="7FD279AC"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lastRenderedPageBreak/>
        <w:t>– legge della Regione Umbria n. 2 del 06/03/2023, recante “Disposizioni in materia di amministrazione condivisa”;</w:t>
      </w:r>
    </w:p>
    <w:p w14:paraId="4892B95D" w14:textId="77777777" w:rsidR="00C1332A" w:rsidRPr="00C1332A" w:rsidRDefault="00C1332A" w:rsidP="00C1332A">
      <w:pPr>
        <w:shd w:val="clear" w:color="auto" w:fill="FFFFFF"/>
        <w:spacing w:after="225" w:line="473" w:lineRule="atLeast"/>
        <w:jc w:val="both"/>
        <w:textAlignment w:val="baseline"/>
        <w:rPr>
          <w:rFonts w:ascii="Work Sans" w:eastAsia="Times New Roman" w:hAnsi="Work Sans" w:cs="Times New Roman"/>
          <w:color w:val="000000"/>
          <w:kern w:val="0"/>
          <w:sz w:val="36"/>
          <w:szCs w:val="36"/>
          <w:lang w:eastAsia="it-IT"/>
          <w14:ligatures w14:val="none"/>
        </w:rPr>
      </w:pPr>
      <w:r w:rsidRPr="00C1332A">
        <w:rPr>
          <w:rFonts w:ascii="Work Sans" w:eastAsia="Times New Roman" w:hAnsi="Work Sans" w:cs="Times New Roman"/>
          <w:color w:val="000000"/>
          <w:kern w:val="0"/>
          <w:sz w:val="36"/>
          <w:szCs w:val="36"/>
          <w:lang w:eastAsia="it-IT"/>
          <w14:ligatures w14:val="none"/>
        </w:rPr>
        <w:t>– legge della Regione Molise n. 3 del 10/03/2023, recante “Ratifica dell’Intesa tra le Regioni e le Province Autonome di Trento e di Bolzano per l’istituzionalizzazione della Conferenza delle Regioni e delle Province Autonome”.</w:t>
      </w:r>
    </w:p>
    <w:p w14:paraId="1DF2D126" w14:textId="77777777" w:rsidR="00BF3EA7" w:rsidRDefault="00BF3EA7"/>
    <w:sectPr w:rsidR="00BF3EA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B5C2" w14:textId="77777777" w:rsidR="00725133" w:rsidRDefault="00725133" w:rsidP="00C1332A">
      <w:pPr>
        <w:spacing w:after="0" w:line="240" w:lineRule="auto"/>
      </w:pPr>
      <w:r>
        <w:separator/>
      </w:r>
    </w:p>
  </w:endnote>
  <w:endnote w:type="continuationSeparator" w:id="0">
    <w:p w14:paraId="68A550CC" w14:textId="77777777" w:rsidR="00725133" w:rsidRDefault="00725133" w:rsidP="00C1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9541"/>
      <w:docPartObj>
        <w:docPartGallery w:val="Page Numbers (Bottom of Page)"/>
        <w:docPartUnique/>
      </w:docPartObj>
    </w:sdtPr>
    <w:sdtContent>
      <w:p w14:paraId="4A06FD92" w14:textId="25511A75" w:rsidR="00C1332A" w:rsidRDefault="00C1332A">
        <w:pPr>
          <w:pStyle w:val="Pidipagina"/>
          <w:jc w:val="center"/>
        </w:pPr>
        <w:r>
          <w:fldChar w:fldCharType="begin"/>
        </w:r>
        <w:r>
          <w:instrText>PAGE   \* MERGEFORMAT</w:instrText>
        </w:r>
        <w:r>
          <w:fldChar w:fldCharType="separate"/>
        </w:r>
        <w:r>
          <w:t>2</w:t>
        </w:r>
        <w:r>
          <w:fldChar w:fldCharType="end"/>
        </w:r>
      </w:p>
    </w:sdtContent>
  </w:sdt>
  <w:p w14:paraId="0498D312" w14:textId="77777777" w:rsidR="00C1332A" w:rsidRDefault="00C133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3DDF" w14:textId="77777777" w:rsidR="00725133" w:rsidRDefault="00725133" w:rsidP="00C1332A">
      <w:pPr>
        <w:spacing w:after="0" w:line="240" w:lineRule="auto"/>
      </w:pPr>
      <w:r>
        <w:separator/>
      </w:r>
    </w:p>
  </w:footnote>
  <w:footnote w:type="continuationSeparator" w:id="0">
    <w:p w14:paraId="43663E54" w14:textId="77777777" w:rsidR="00725133" w:rsidRDefault="00725133" w:rsidP="00C13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048A"/>
    <w:multiLevelType w:val="multilevel"/>
    <w:tmpl w:val="B5EC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E1190"/>
    <w:multiLevelType w:val="multilevel"/>
    <w:tmpl w:val="D134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64921"/>
    <w:multiLevelType w:val="multilevel"/>
    <w:tmpl w:val="7E40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A6014"/>
    <w:multiLevelType w:val="multilevel"/>
    <w:tmpl w:val="7660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8110657">
    <w:abstractNumId w:val="2"/>
  </w:num>
  <w:num w:numId="2" w16cid:durableId="1833518751">
    <w:abstractNumId w:val="1"/>
  </w:num>
  <w:num w:numId="3" w16cid:durableId="1290042971">
    <w:abstractNumId w:val="3"/>
  </w:num>
  <w:num w:numId="4" w16cid:durableId="115664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0F"/>
    <w:rsid w:val="00230719"/>
    <w:rsid w:val="004E660F"/>
    <w:rsid w:val="00725133"/>
    <w:rsid w:val="00BF3EA7"/>
    <w:rsid w:val="00C13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EC9E"/>
  <w15:chartTrackingRefBased/>
  <w15:docId w15:val="{472B7A2C-B217-4AF8-B1E3-47FC851A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33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332A"/>
  </w:style>
  <w:style w:type="paragraph" w:styleId="Pidipagina">
    <w:name w:val="footer"/>
    <w:basedOn w:val="Normale"/>
    <w:link w:val="PidipaginaCarattere"/>
    <w:uiPriority w:val="99"/>
    <w:unhideWhenUsed/>
    <w:rsid w:val="00C133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4604">
      <w:bodyDiv w:val="1"/>
      <w:marLeft w:val="0"/>
      <w:marRight w:val="0"/>
      <w:marTop w:val="0"/>
      <w:marBottom w:val="0"/>
      <w:divBdr>
        <w:top w:val="none" w:sz="0" w:space="0" w:color="auto"/>
        <w:left w:val="none" w:sz="0" w:space="0" w:color="auto"/>
        <w:bottom w:val="none" w:sz="0" w:space="0" w:color="auto"/>
        <w:right w:val="none" w:sz="0" w:space="0" w:color="auto"/>
      </w:divBdr>
    </w:div>
    <w:div w:id="9189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erno.it/it/articolo/comunicato-stampa-del-consiglio-dei-ministri-n-32/22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2302</Words>
  <Characters>13128</Characters>
  <Application>Microsoft Office Word</Application>
  <DocSecurity>0</DocSecurity>
  <Lines>109</Lines>
  <Paragraphs>30</Paragraphs>
  <ScaleCrop>false</ScaleCrop>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2</cp:revision>
  <dcterms:created xsi:type="dcterms:W3CDTF">2023-05-03T07:28:00Z</dcterms:created>
  <dcterms:modified xsi:type="dcterms:W3CDTF">2023-05-03T07:29:00Z</dcterms:modified>
</cp:coreProperties>
</file>