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8974" w14:textId="77777777" w:rsidR="004B3E9F" w:rsidRDefault="004B3E9F" w:rsidP="004B3E9F">
      <w:pPr>
        <w:pStyle w:val="NormaleWeb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Esclusione dal divieto di sconto in fattura e cessione del credito per gli interventi in edilizia libera, per gli interventi in variante, per i lavori effettuati nelle zone “sisma”, per quelli realizzati da IACP, cooperative, ONLUS  e per gli interventi di abbattimento delle barriere architettoniche.  OK allo sblocco di sconto in fattura/cessione del credito anche per l’acquisto di immobili ristrutturati o ricostruiti, agevolato il Bonus al 50% o con il Sismabonus acquisti, se al 16 febbraio 2023 è stato richiesto il titolo abilitativo.</w:t>
      </w:r>
    </w:p>
    <w:p w14:paraId="34440BC5" w14:textId="77777777" w:rsidR="004B3E9F" w:rsidRDefault="004B3E9F" w:rsidP="004B3E9F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Queste, ed altre, sono le novità introdotte dalla </w:t>
      </w:r>
      <w:r>
        <w:rPr>
          <w:rStyle w:val="Enfasigrassetto"/>
          <w:rFonts w:ascii="inherit" w:hAnsi="inherit"/>
          <w:color w:val="000000"/>
          <w:u w:val="single"/>
          <w:bdr w:val="none" w:sz="0" w:space="0" w:color="auto" w:frame="1"/>
        </w:rPr>
        <w:t>legge 11 aprile 2023, n. 38</w:t>
      </w:r>
      <w:r>
        <w:rPr>
          <w:rFonts w:ascii="Work Sans" w:hAnsi="Work Sans"/>
          <w:color w:val="000000"/>
        </w:rPr>
        <w:t> di conversione con modificazioni, del DL 11/2023, recante “</w:t>
      </w:r>
      <w:r>
        <w:rPr>
          <w:rStyle w:val="Enfasicorsivo"/>
          <w:rFonts w:ascii="inherit" w:hAnsi="inherit"/>
          <w:color w:val="000000"/>
          <w:bdr w:val="none" w:sz="0" w:space="0" w:color="auto" w:frame="1"/>
        </w:rPr>
        <w:t>Misure urgenti in materia di cessione dei crediti di cui all’articolo 121 del decreto-legge 19 maggio 2020, n. 34, convertito, con modificazioni, dalla legge 17 luglio 2020, n. 77</w:t>
      </w:r>
      <w:r>
        <w:rPr>
          <w:rFonts w:ascii="Work Sans" w:hAnsi="Work Sans"/>
          <w:color w:val="000000"/>
        </w:rPr>
        <w:t>” pubblicato sulla </w:t>
      </w:r>
      <w:r>
        <w:rPr>
          <w:rStyle w:val="Enfasicorsivo"/>
          <w:rFonts w:ascii="inherit" w:hAnsi="inherit"/>
          <w:color w:val="000000"/>
          <w:bdr w:val="none" w:sz="0" w:space="0" w:color="auto" w:frame="1"/>
        </w:rPr>
        <w:t>Gazzetta Ufficiale</w:t>
      </w:r>
      <w:r>
        <w:rPr>
          <w:rFonts w:ascii="Work Sans" w:hAnsi="Work Sans"/>
          <w:color w:val="000000"/>
        </w:rPr>
        <w:t> n-85 dell’11 aprile 2023.</w:t>
      </w:r>
    </w:p>
    <w:p w14:paraId="31845C3C" w14:textId="77777777" w:rsidR="004B3E9F" w:rsidRDefault="004B3E9F" w:rsidP="004B3E9F">
      <w:pPr>
        <w:pStyle w:val="NormaleWeb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Oltre alle numerose deroghe che hanno mitigato, nel senso voluto dall’Ance, il blocco della cessione del credito e dello sconto in fattura introdotto dal decreto-legge 11/2023, la legge di conversione è intervenuta sulla disciplina dei bonus edilizi, con diverse modifiche sul testo originario.</w:t>
      </w:r>
    </w:p>
    <w:p w14:paraId="3DD33134" w14:textId="77777777" w:rsidR="004B3E9F" w:rsidRDefault="004B3E9F" w:rsidP="004B3E9F">
      <w:pPr>
        <w:pStyle w:val="NormaleWeb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Come richiesto dall’ANCE è stata accolta la proroga, dal 31 marzo al 30 settembre 2023, della possibilità di fruire del Superbonus al 110% per interventi agevolati su unifamiliari e unità indipendenti all’interno di edifici plurifamiliari, sempre a condizione che, al 30 settembre 2022, sia stato realizzato almeno il 30% dell’intervento complessivo.</w:t>
      </w:r>
    </w:p>
    <w:p w14:paraId="6A1375B3" w14:textId="77777777" w:rsidR="004B3E9F" w:rsidRDefault="004B3E9F" w:rsidP="004B3E9F">
      <w:pPr>
        <w:pStyle w:val="NormaleWeb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Diverse le modifiche relative all’utilizzo dei bonus in dichiarazione o come crediti di imposta. Per gli interventi agevolati con il Superbonus, il Bonus barriere architettoniche al 75% e il Sismabonus (compreso, il Sismabonus acquisti), viene ammessa la facoltà di ripartire in 10 anni (anziché in 4/5 anni) i crediti d’imposta derivanti dalle comunicazioni di cessione o di sconto in fattura inviate all’Agenzia delle entrate entro il 31 marzo 2023 e non ancora utilizzati. Riguarda, invece, solo i beneficiari del Superbonus che hanno sostenuto le spese agevolate nel 2022, la facoltà di rateizzare la detrazione in 10 anni a partire dalla dichiarazione dei redditi 2023.</w:t>
      </w:r>
    </w:p>
    <w:p w14:paraId="07973DC1" w14:textId="77777777" w:rsidR="004B3E9F" w:rsidRDefault="004B3E9F" w:rsidP="004B3E9F">
      <w:pPr>
        <w:pStyle w:val="NormaleWeb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Alle banche cessionarie che abbiano esaurito la propria capienza fiscale viene, invece, riconosciuta la possibilità di convertire i crediti d’imposta derivanti da spese sostenute nel 2022 in buoni poliennali del tesoro – BTP, con scadenza non inferiore a 10 anni.</w:t>
      </w:r>
    </w:p>
    <w:p w14:paraId="5028D3E7" w14:textId="77777777" w:rsidR="004B3E9F" w:rsidRDefault="004B3E9F" w:rsidP="004B3E9F">
      <w:pPr>
        <w:pStyle w:val="NormaleWeb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 </w:t>
      </w:r>
    </w:p>
    <w:p w14:paraId="49562700" w14:textId="77777777" w:rsidR="004B3E9F" w:rsidRDefault="004B3E9F" w:rsidP="004B3E9F">
      <w:pPr>
        <w:pStyle w:val="NormaleWeb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lastRenderedPageBreak/>
        <w:t>Diversi i chiarimenti di natura interpretativa che hanno sciolto alcune questioni dubbie, dalla non obbligatorietà dei SAL per la liquidazione delle spese agevolate coi bonus ordinari, alla possibilità di compensare i debiti contributivi con i crediti fiscali, compresi quelli da bonus edilizi.</w:t>
      </w:r>
    </w:p>
    <w:p w14:paraId="0922FBED" w14:textId="77777777" w:rsidR="004B3E9F" w:rsidRDefault="004B3E9F" w:rsidP="004B3E9F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Nel </w:t>
      </w:r>
      <w:r>
        <w:rPr>
          <w:rStyle w:val="Enfasigrassetto"/>
          <w:rFonts w:ascii="inherit" w:hAnsi="inherit"/>
          <w:color w:val="000000"/>
          <w:u w:val="single"/>
          <w:bdr w:val="none" w:sz="0" w:space="0" w:color="auto" w:frame="1"/>
        </w:rPr>
        <w:t>Dossier riepilogativo dell’ANCE</w:t>
      </w:r>
      <w:r>
        <w:rPr>
          <w:rFonts w:ascii="Work Sans" w:hAnsi="Work Sans"/>
          <w:color w:val="000000"/>
        </w:rPr>
        <w:t> è contenuta l’illustrazione delle principali novità contenute nella legge 38/2023.</w:t>
      </w:r>
    </w:p>
    <w:p w14:paraId="417BE5B4" w14:textId="77777777" w:rsidR="00BF3EA7" w:rsidRDefault="00BF3EA7"/>
    <w:sectPr w:rsidR="00BF3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9E"/>
    <w:rsid w:val="00230719"/>
    <w:rsid w:val="00271F9E"/>
    <w:rsid w:val="004B3E9F"/>
    <w:rsid w:val="00B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256AF-E489-44D6-8ED6-0C07F6A1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B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4B3E9F"/>
    <w:rPr>
      <w:b/>
      <w:bCs/>
    </w:rPr>
  </w:style>
  <w:style w:type="character" w:styleId="Enfasicorsivo">
    <w:name w:val="Emphasis"/>
    <w:basedOn w:val="Carpredefinitoparagrafo"/>
    <w:uiPriority w:val="20"/>
    <w:qFormat/>
    <w:rsid w:val="004B3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dc:description/>
  <cp:lastModifiedBy>Utente 2</cp:lastModifiedBy>
  <cp:revision>2</cp:revision>
  <dcterms:created xsi:type="dcterms:W3CDTF">2023-04-14T14:21:00Z</dcterms:created>
  <dcterms:modified xsi:type="dcterms:W3CDTF">2023-04-14T14:21:00Z</dcterms:modified>
</cp:coreProperties>
</file>